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adjustRightInd w:val="0"/>
        <w:snapToGrid w:val="0"/>
        <w:spacing w:line="480" w:lineRule="auto"/>
        <w:ind w:firstLine="0" w:firstLineChars="0"/>
        <w:jc w:val="center"/>
        <w:rPr>
          <w:rFonts w:hint="eastAsia" w:ascii="宋体" w:hAnsi="宋体" w:cs="宋体"/>
          <w:b/>
          <w:color w:val="000000"/>
          <w:sz w:val="44"/>
          <w:szCs w:val="44"/>
        </w:rPr>
      </w:pPr>
    </w:p>
    <w:p>
      <w:pPr>
        <w:snapToGrid w:val="0"/>
        <w:ind w:firstLine="723"/>
        <w:rPr>
          <w:rFonts w:hint="eastAsia" w:ascii="宋体" w:hAnsi="宋体"/>
          <w:b/>
          <w:color w:val="000000"/>
          <w:sz w:val="36"/>
          <w:szCs w:val="36"/>
        </w:rPr>
      </w:pPr>
    </w:p>
    <w:p>
      <w:pPr>
        <w:adjustRightInd w:val="0"/>
        <w:snapToGrid w:val="0"/>
        <w:spacing w:line="480" w:lineRule="auto"/>
        <w:ind w:firstLine="880"/>
        <w:jc w:val="center"/>
        <w:rPr>
          <w:rFonts w:hint="eastAsia" w:ascii="宋体" w:hAnsi="宋体" w:cs="宋体"/>
          <w:bCs/>
          <w:color w:val="000000"/>
          <w:sz w:val="44"/>
          <w:szCs w:val="44"/>
        </w:rPr>
      </w:pPr>
      <w:r>
        <w:rPr>
          <w:rFonts w:ascii="宋体" w:hAnsi="宋体" w:cs="宋体"/>
          <w:color w:val="000000"/>
          <w:szCs w:val="24"/>
        </w:rPr>
        <w:drawing>
          <wp:inline distT="0" distB="0" distL="114300" distR="114300">
            <wp:extent cx="1889125" cy="1609725"/>
            <wp:effectExtent l="0" t="0" r="0" b="952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8"/>
                    <a:stretch>
                      <a:fillRect/>
                    </a:stretch>
                  </pic:blipFill>
                  <pic:spPr>
                    <a:xfrm>
                      <a:off x="0" y="0"/>
                      <a:ext cx="1889125" cy="1609725"/>
                    </a:xfrm>
                    <a:prstGeom prst="rect">
                      <a:avLst/>
                    </a:prstGeom>
                    <a:noFill/>
                    <a:ln>
                      <a:noFill/>
                    </a:ln>
                  </pic:spPr>
                </pic:pic>
              </a:graphicData>
            </a:graphic>
          </wp:inline>
        </w:drawing>
      </w:r>
    </w:p>
    <w:p>
      <w:pPr>
        <w:pStyle w:val="4"/>
        <w:ind w:firstLine="480"/>
        <w:rPr>
          <w:color w:val="000000"/>
        </w:rPr>
      </w:pPr>
    </w:p>
    <w:p>
      <w:pPr>
        <w:adjustRightInd w:val="0"/>
        <w:snapToGrid w:val="0"/>
        <w:spacing w:line="480" w:lineRule="auto"/>
        <w:ind w:firstLine="0" w:firstLineChars="0"/>
        <w:jc w:val="center"/>
        <w:rPr>
          <w:rFonts w:hint="eastAsia" w:ascii="宋体" w:hAnsi="宋体" w:cs="宋体"/>
          <w:b/>
          <w:color w:val="000000"/>
          <w:sz w:val="52"/>
          <w:szCs w:val="52"/>
        </w:rPr>
      </w:pPr>
      <w:r>
        <w:rPr>
          <w:rFonts w:hint="eastAsia" w:ascii="宋体" w:hAnsi="宋体" w:cs="宋体"/>
          <w:b/>
          <w:color w:val="000000"/>
          <w:sz w:val="52"/>
          <w:szCs w:val="52"/>
        </w:rPr>
        <w:t>材料采购招标文件</w:t>
      </w:r>
    </w:p>
    <w:p>
      <w:pPr>
        <w:adjustRightInd w:val="0"/>
        <w:snapToGrid w:val="0"/>
        <w:spacing w:line="480" w:lineRule="auto"/>
        <w:ind w:firstLine="643"/>
        <w:rPr>
          <w:rFonts w:hint="eastAsia" w:ascii="宋体" w:hAnsi="宋体"/>
          <w:b/>
          <w:color w:val="000000"/>
          <w:sz w:val="32"/>
          <w:szCs w:val="32"/>
        </w:rPr>
      </w:pPr>
    </w:p>
    <w:p>
      <w:pPr>
        <w:ind w:firstLine="0" w:firstLineChars="0"/>
        <w:rPr>
          <w:rFonts w:hint="eastAsia" w:ascii="宋体" w:hAnsi="宋体"/>
          <w:b/>
          <w:color w:val="000000"/>
          <w:sz w:val="32"/>
          <w:szCs w:val="32"/>
        </w:rPr>
      </w:pPr>
    </w:p>
    <w:p>
      <w:pPr>
        <w:pStyle w:val="4"/>
        <w:ind w:firstLine="0" w:firstLineChars="0"/>
      </w:pP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招标项目：入海水道二期工程盐城市境内2024年度工程穿堤建筑物</w:t>
      </w: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pPr>
        <w:pStyle w:val="4"/>
        <w:ind w:firstLine="482"/>
      </w:pPr>
      <w:r>
        <w:rPr>
          <w:rFonts w:hint="eastAsia" w:ascii="宋体" w:hAnsi="宋体" w:cs="宋体-18030"/>
          <w:b/>
          <w:bCs/>
          <w:color w:val="000000"/>
          <w:szCs w:val="24"/>
        </w:rPr>
        <w:t>招标内容：钢筋采购</w:t>
      </w:r>
    </w:p>
    <w:p>
      <w:pPr>
        <w:snapToGrid w:val="0"/>
        <w:spacing w:before="240" w:line="360" w:lineRule="auto"/>
        <w:ind w:left="2167" w:leftChars="200" w:hanging="1687" w:hangingChars="700"/>
        <w:rPr>
          <w:rFonts w:hint="eastAsia" w:ascii="宋体" w:hAnsi="宋体" w:cs="宋体-18030"/>
          <w:b/>
          <w:bCs/>
          <w:color w:val="000000"/>
          <w:szCs w:val="24"/>
        </w:rPr>
      </w:pPr>
      <w:r>
        <w:rPr>
          <w:rFonts w:hint="eastAsia" w:ascii="宋体" w:hAnsi="宋体" w:cs="宋体-18030"/>
          <w:b/>
          <w:bCs/>
          <w:color w:val="000000"/>
          <w:szCs w:val="24"/>
        </w:rPr>
        <w:t>现场管理机构：入海水道二期工程盐城市境内2024年度工程穿堤建筑物项目经理部</w:t>
      </w: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2025年01月1</w:t>
      </w:r>
      <w:r>
        <w:rPr>
          <w:rFonts w:hint="eastAsia" w:ascii="宋体" w:hAnsi="宋体" w:cs="宋体-18030"/>
          <w:b/>
          <w:bCs/>
          <w:color w:val="000000"/>
          <w:szCs w:val="24"/>
          <w:u w:val="single"/>
          <w:lang w:val="en-US" w:eastAsia="zh-CN"/>
        </w:rPr>
        <w:t>7</w:t>
      </w:r>
      <w:r>
        <w:rPr>
          <w:rFonts w:hint="eastAsia" w:ascii="宋体" w:hAnsi="宋体" w:cs="宋体-18030"/>
          <w:b/>
          <w:bCs/>
          <w:color w:val="000000"/>
          <w:szCs w:val="24"/>
          <w:u w:val="single"/>
        </w:rPr>
        <w:t>日</w:t>
      </w:r>
    </w:p>
    <w:p>
      <w:pPr>
        <w:bidi w:val="0"/>
        <w:jc w:val="center"/>
        <w:rPr>
          <w:rFonts w:hint="eastAsia"/>
          <w:b/>
          <w:bCs/>
          <w:sz w:val="44"/>
          <w:szCs w:val="44"/>
        </w:rPr>
      </w:pPr>
      <w:r>
        <w:rPr>
          <w:rFonts w:hint="eastAsia"/>
          <w:b/>
          <w:bCs/>
          <w:sz w:val="44"/>
          <w:szCs w:val="44"/>
        </w:rPr>
        <w:t>招 标 公 告</w:t>
      </w:r>
    </w:p>
    <w:p>
      <w:pPr>
        <w:snapToGrid w:val="0"/>
        <w:spacing w:line="400" w:lineRule="exact"/>
        <w:ind w:firstLine="456"/>
        <w:rPr>
          <w:rFonts w:hint="eastAsia" w:ascii="宋体" w:hAnsi="宋体" w:cs="宋体"/>
          <w:color w:val="000000"/>
          <w:spacing w:val="-6"/>
        </w:rPr>
      </w:pPr>
    </w:p>
    <w:p>
      <w:pPr>
        <w:snapToGrid w:val="0"/>
        <w:spacing w:line="400" w:lineRule="exact"/>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u w:val="single"/>
        </w:rPr>
        <w:t>入海水道二期工程盐城市境内2024年度工程穿堤建筑物</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该项目使用的钢材</w:t>
      </w:r>
      <w:r>
        <w:rPr>
          <w:rFonts w:hint="eastAsia" w:ascii="宋体" w:hAnsi="宋体" w:cs="宋体"/>
          <w:color w:val="000000"/>
          <w:spacing w:val="-6"/>
        </w:rPr>
        <w:t>进行公开招标，</w:t>
      </w:r>
      <w:bookmarkStart w:id="0" w:name="_Toc211244988"/>
      <w:bookmarkStart w:id="1" w:name="_Toc13095"/>
      <w:bookmarkStart w:id="2" w:name="_Toc374458968"/>
      <w:r>
        <w:rPr>
          <w:rFonts w:hint="eastAsia" w:ascii="宋体" w:hAnsi="宋体" w:cs="宋体"/>
          <w:color w:val="000000"/>
          <w:spacing w:val="-6"/>
        </w:rPr>
        <w:t>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王琰</w:t>
      </w:r>
      <w:r>
        <w:rPr>
          <w:rFonts w:ascii="宋体" w:hAnsi="宋体"/>
          <w:color w:val="000000"/>
          <w:szCs w:val="21"/>
        </w:rPr>
        <w:t>，联系电话：</w:t>
      </w:r>
      <w:r>
        <w:rPr>
          <w:rFonts w:hint="eastAsia" w:ascii="宋体" w:hAnsi="宋体"/>
          <w:color w:val="000000"/>
          <w:szCs w:val="21"/>
        </w:rPr>
        <w:t>15371689074（盐城市阜宁县芦蒲镇）</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szCs w:val="24"/>
        </w:rPr>
      </w:pPr>
      <w:r>
        <w:rPr>
          <w:szCs w:val="24"/>
        </w:rPr>
        <w:t>本次投标采取网上投标方式，投标人于</w:t>
      </w:r>
      <w:r>
        <w:rPr>
          <w:rFonts w:hint="eastAsia"/>
          <w:szCs w:val="24"/>
        </w:rPr>
        <w:t>2025年</w:t>
      </w:r>
      <w:r>
        <w:rPr>
          <w:rFonts w:hint="eastAsia" w:ascii="宋体" w:hAnsi="宋体"/>
          <w:szCs w:val="32"/>
        </w:rPr>
        <w:t>1月</w:t>
      </w:r>
      <w:r>
        <w:rPr>
          <w:rFonts w:hint="eastAsia" w:ascii="宋体" w:hAnsi="宋体"/>
          <w:szCs w:val="32"/>
          <w:lang w:val="en-US" w:eastAsia="zh-CN"/>
        </w:rPr>
        <w:t>24</w:t>
      </w:r>
      <w:r>
        <w:rPr>
          <w:rFonts w:hint="eastAsia" w:ascii="宋体" w:hAnsi="宋体"/>
          <w:szCs w:val="32"/>
        </w:rPr>
        <w:t>日</w:t>
      </w:r>
      <w:r>
        <w:rPr>
          <w:rFonts w:hint="eastAsia"/>
          <w:szCs w:val="24"/>
        </w:rPr>
        <w:t>下午1</w:t>
      </w:r>
      <w:r>
        <w:rPr>
          <w:rFonts w:hint="eastAsia"/>
          <w:szCs w:val="24"/>
          <w:lang w:val="en-US" w:eastAsia="zh-CN"/>
        </w:rPr>
        <w:t>4</w:t>
      </w:r>
      <w:r>
        <w:rPr>
          <w:rFonts w:hint="eastAsia"/>
          <w:szCs w:val="24"/>
        </w:rPr>
        <w:t>:00</w:t>
      </w:r>
      <w:r>
        <w:rPr>
          <w:rFonts w:hint="eastAsia" w:ascii="宋体" w:hAnsi="宋体"/>
          <w:szCs w:val="32"/>
        </w:rPr>
        <w:t>前</w:t>
      </w:r>
      <w:r>
        <w:rPr>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w:t>
      </w:r>
      <w:r>
        <w:rPr>
          <w:rFonts w:hint="eastAsia"/>
          <w:szCs w:val="24"/>
        </w:rPr>
        <w:t>5</w:t>
      </w:r>
      <w:r>
        <w:rPr>
          <w:szCs w:val="24"/>
        </w:rPr>
        <w:t>年</w:t>
      </w:r>
      <w:r>
        <w:rPr>
          <w:rFonts w:hint="eastAsia"/>
          <w:szCs w:val="24"/>
        </w:rPr>
        <w:t>1月</w:t>
      </w:r>
      <w:r>
        <w:rPr>
          <w:rFonts w:hint="eastAsia"/>
          <w:szCs w:val="24"/>
          <w:lang w:val="en-US" w:eastAsia="zh-CN"/>
        </w:rPr>
        <w:t>24</w:t>
      </w:r>
      <w:r>
        <w:rPr>
          <w:rFonts w:hint="eastAsia"/>
          <w:szCs w:val="24"/>
        </w:rPr>
        <w:t>日</w:t>
      </w:r>
      <w:r>
        <w:rPr>
          <w:rFonts w:hint="eastAsia" w:ascii="宋体" w:hAnsi="宋体"/>
          <w:szCs w:val="32"/>
        </w:rPr>
        <w:t>上</w:t>
      </w:r>
      <w:r>
        <w:rPr>
          <w:rFonts w:ascii="宋体" w:hAnsi="宋体"/>
          <w:szCs w:val="24"/>
        </w:rPr>
        <w:t>午</w:t>
      </w:r>
      <w:r>
        <w:rPr>
          <w:rFonts w:hint="eastAsia" w:ascii="宋体" w:hAnsi="宋体"/>
          <w:szCs w:val="24"/>
          <w:lang w:val="en-US" w:eastAsia="zh-CN"/>
        </w:rPr>
        <w:t>10</w:t>
      </w:r>
      <w:r>
        <w:rPr>
          <w:rFonts w:ascii="宋体" w:hAnsi="宋体"/>
          <w:szCs w:val="24"/>
        </w:rPr>
        <w:t>:</w:t>
      </w:r>
      <w:r>
        <w:rPr>
          <w:rFonts w:hint="eastAsia" w:ascii="宋体" w:hAnsi="宋体"/>
          <w:szCs w:val="24"/>
        </w:rPr>
        <w:t>3</w:t>
      </w:r>
      <w:r>
        <w:rPr>
          <w:rFonts w:ascii="宋体" w:hAnsi="宋体"/>
          <w:szCs w:val="24"/>
        </w:rPr>
        <w:t>0</w:t>
      </w:r>
      <w:r>
        <w:rPr>
          <w:szCs w:val="24"/>
        </w:rPr>
        <w:t>前从单位</w:t>
      </w:r>
      <w:r>
        <w:rPr>
          <w:b/>
          <w:bCs/>
          <w:szCs w:val="24"/>
        </w:rPr>
        <w:t>基本户</w:t>
      </w:r>
      <w:r>
        <w:rPr>
          <w:szCs w:val="24"/>
        </w:rPr>
        <w:t>将投标保证金（人民币）</w:t>
      </w:r>
      <w:r>
        <w:rPr>
          <w:b/>
          <w:bCs/>
          <w:color w:val="FF0000"/>
          <w:szCs w:val="24"/>
        </w:rPr>
        <w:t>伍万元整</w:t>
      </w:r>
      <w:r>
        <w:rPr>
          <w:szCs w:val="24"/>
        </w:rPr>
        <w:t>汇入我公司银行账户，</w:t>
      </w:r>
      <w:r>
        <w:rPr>
          <w:b/>
          <w:bCs/>
          <w:szCs w:val="24"/>
        </w:rPr>
        <w:t>汇款备注：</w:t>
      </w:r>
      <w:r>
        <w:rPr>
          <w:rFonts w:hint="eastAsia"/>
          <w:b/>
          <w:bCs/>
          <w:color w:val="FF0000"/>
          <w:szCs w:val="24"/>
        </w:rPr>
        <w:t>入海水道二期工程盐城市境内2024年度工程穿堤建筑物</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b/>
          <w:bCs/>
          <w:color w:val="FF0000"/>
          <w:szCs w:val="24"/>
        </w:rPr>
      </w:pPr>
      <w:r>
        <w:rPr>
          <w:kern w:val="2"/>
          <w:szCs w:val="24"/>
        </w:rPr>
        <w:t>2、</w:t>
      </w:r>
      <w:r>
        <w:rPr>
          <w:b/>
          <w:bCs/>
          <w:kern w:val="2"/>
          <w:szCs w:val="24"/>
        </w:rPr>
        <w:t>开标时间及地点</w:t>
      </w:r>
      <w:r>
        <w:rPr>
          <w:kern w:val="2"/>
          <w:szCs w:val="24"/>
        </w:rPr>
        <w:t>：招标人于</w:t>
      </w:r>
      <w:r>
        <w:rPr>
          <w:rFonts w:hint="eastAsia"/>
          <w:kern w:val="2"/>
          <w:szCs w:val="24"/>
        </w:rPr>
        <w:t>2025年</w:t>
      </w:r>
      <w:r>
        <w:rPr>
          <w:rFonts w:hint="eastAsia" w:ascii="宋体" w:hAnsi="宋体"/>
          <w:szCs w:val="32"/>
        </w:rPr>
        <w:t>1月</w:t>
      </w:r>
      <w:r>
        <w:rPr>
          <w:rFonts w:hint="eastAsia" w:ascii="宋体" w:hAnsi="宋体"/>
          <w:szCs w:val="32"/>
          <w:lang w:val="en-US" w:eastAsia="zh-CN"/>
        </w:rPr>
        <w:t>24</w:t>
      </w:r>
      <w:r>
        <w:rPr>
          <w:rFonts w:hint="eastAsia" w:ascii="宋体" w:hAnsi="宋体"/>
          <w:szCs w:val="32"/>
        </w:rPr>
        <w:t>日</w:t>
      </w:r>
      <w:r>
        <w:rPr>
          <w:rFonts w:hint="eastAsia"/>
          <w:szCs w:val="24"/>
        </w:rPr>
        <w:t>下午1</w:t>
      </w:r>
      <w:r>
        <w:rPr>
          <w:rFonts w:hint="eastAsia"/>
          <w:szCs w:val="24"/>
          <w:lang w:val="en-US" w:eastAsia="zh-CN"/>
        </w:rPr>
        <w:t>4</w:t>
      </w:r>
      <w:r>
        <w:rPr>
          <w:rFonts w:hint="eastAsia"/>
          <w:szCs w:val="24"/>
        </w:rPr>
        <w:t>:00</w:t>
      </w:r>
      <w:r>
        <w:rPr>
          <w:kern w:val="2"/>
          <w:szCs w:val="24"/>
        </w:rPr>
        <w:t>在江苏省水利建设工程有限</w:t>
      </w:r>
      <w:r>
        <w:rPr>
          <w:szCs w:val="24"/>
        </w:rPr>
        <w:t>公司公司五楼会议室（扬州市长征西路14号）现场开标</w:t>
      </w:r>
      <w:r>
        <w:rPr>
          <w:rFonts w:hint="eastAsia"/>
          <w:szCs w:val="24"/>
        </w:rPr>
        <w:t>。</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spacing w:line="336" w:lineRule="auto"/>
        <w:ind w:firstLine="482"/>
        <w:rPr>
          <w:b/>
          <w:bCs/>
          <w:szCs w:val="24"/>
        </w:rPr>
      </w:pPr>
      <w:r>
        <w:rPr>
          <w:rFonts w:hint="eastAsia"/>
          <w:b/>
          <w:bCs/>
          <w:szCs w:val="24"/>
        </w:rPr>
        <w:t>五</w:t>
      </w:r>
      <w:r>
        <w:rPr>
          <w:b/>
          <w:bCs/>
          <w:szCs w:val="24"/>
        </w:rPr>
        <w:t>、供货内容及要求</w:t>
      </w:r>
    </w:p>
    <w:p>
      <w:pPr>
        <w:spacing w:line="336" w:lineRule="auto"/>
        <w:ind w:firstLine="480"/>
        <w:rPr>
          <w:rFonts w:hint="eastAsia" w:ascii="宋体" w:hAnsi="宋体"/>
          <w:color w:val="000000"/>
          <w:szCs w:val="21"/>
        </w:rPr>
      </w:pPr>
      <w:r>
        <w:rPr>
          <w:rFonts w:hint="eastAsia" w:ascii="宋体" w:hAnsi="宋体"/>
          <w:color w:val="000000"/>
          <w:szCs w:val="21"/>
        </w:rPr>
        <w:t>1、钢材品牌指定</w:t>
      </w:r>
      <w:r>
        <w:rPr>
          <w:rFonts w:hint="eastAsia" w:ascii="宋体" w:hAnsi="宋体" w:eastAsiaTheme="minorEastAsia"/>
          <w:b/>
          <w:bCs/>
          <w:color w:val="000000" w:themeColor="text1"/>
          <w:kern w:val="2"/>
          <w:szCs w:val="24"/>
          <w14:textFill>
            <w14:solidFill>
              <w14:schemeClr w14:val="tx1"/>
            </w14:solidFill>
          </w14:textFill>
        </w:rPr>
        <w:t>沙钢</w:t>
      </w:r>
      <w:r>
        <w:rPr>
          <w:rFonts w:hint="eastAsia" w:ascii="宋体" w:hAnsi="宋体"/>
          <w:b/>
          <w:bCs/>
          <w:color w:val="000000" w:themeColor="text1"/>
          <w:kern w:val="2"/>
          <w:szCs w:val="24"/>
          <w14:textFill>
            <w14:solidFill>
              <w14:schemeClr w14:val="tx1"/>
            </w14:solidFill>
          </w14:textFill>
        </w:rPr>
        <w:t>、永钢、</w:t>
      </w:r>
      <w:r>
        <w:rPr>
          <w:rFonts w:hint="eastAsia" w:ascii="宋体" w:hAnsi="宋体" w:eastAsiaTheme="minorEastAsia"/>
          <w:b/>
          <w:bCs/>
          <w:color w:val="000000" w:themeColor="text1"/>
          <w:kern w:val="2"/>
          <w:szCs w:val="24"/>
          <w14:textFill>
            <w14:solidFill>
              <w14:schemeClr w14:val="tx1"/>
            </w14:solidFill>
          </w14:textFill>
        </w:rPr>
        <w:t>中天</w:t>
      </w:r>
      <w:r>
        <w:rPr>
          <w:rFonts w:hint="eastAsia" w:ascii="宋体" w:hAnsi="宋体"/>
          <w:color w:val="000000"/>
          <w:kern w:val="2"/>
          <w:szCs w:val="24"/>
        </w:rPr>
        <w:t>等品牌</w:t>
      </w:r>
      <w:r>
        <w:rPr>
          <w:rFonts w:hint="eastAsia" w:ascii="宋体" w:hAnsi="宋体"/>
          <w:color w:val="000000"/>
          <w:szCs w:val="21"/>
        </w:rPr>
        <w:t>。</w:t>
      </w:r>
    </w:p>
    <w:p>
      <w:pPr>
        <w:pStyle w:val="4"/>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400"/>
        <w:gridCol w:w="1292"/>
        <w:gridCol w:w="1419"/>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726" w:type="dxa"/>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hint="eastAsia" w:ascii="宋体" w:hAnsi="宋体"/>
                <w:b/>
                <w:bCs/>
                <w:color w:val="000000"/>
                <w:szCs w:val="24"/>
              </w:rPr>
              <w:t>品名</w:t>
            </w:r>
          </w:p>
        </w:tc>
        <w:tc>
          <w:tcPr>
            <w:tcW w:w="2400" w:type="dxa"/>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ascii="宋体" w:hAnsi="宋体"/>
                <w:b/>
                <w:bCs/>
                <w:color w:val="000000"/>
                <w:szCs w:val="24"/>
              </w:rPr>
              <w:t>规格</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hint="eastAsia" w:ascii="宋体" w:hAnsi="宋体"/>
                <w:b/>
                <w:bCs/>
                <w:color w:val="000000"/>
                <w:szCs w:val="24"/>
              </w:rPr>
              <w:t>计量单</w:t>
            </w:r>
            <w:r>
              <w:rPr>
                <w:rFonts w:ascii="宋体" w:hAnsi="宋体"/>
                <w:b/>
                <w:bCs/>
                <w:color w:val="000000"/>
                <w:szCs w:val="24"/>
              </w:rPr>
              <w:t>位</w:t>
            </w:r>
          </w:p>
        </w:tc>
        <w:tc>
          <w:tcPr>
            <w:tcW w:w="14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ascii="宋体" w:hAnsi="宋体"/>
                <w:b/>
                <w:bCs/>
                <w:color w:val="000000"/>
                <w:szCs w:val="24"/>
              </w:rPr>
              <w:t>暂定</w:t>
            </w:r>
            <w:r>
              <w:rPr>
                <w:rFonts w:hint="eastAsia" w:ascii="宋体" w:hAnsi="宋体"/>
                <w:b/>
                <w:bCs/>
                <w:color w:val="000000"/>
                <w:szCs w:val="24"/>
              </w:rPr>
              <w:t>数量</w:t>
            </w:r>
          </w:p>
        </w:tc>
        <w:tc>
          <w:tcPr>
            <w:tcW w:w="2421"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b/>
                <w:bCs/>
                <w:color w:val="000000"/>
                <w:szCs w:val="24"/>
              </w:rPr>
            </w:pPr>
            <w:r>
              <w:rPr>
                <w:rFonts w:hint="eastAsia" w:ascii="宋体" w:hAnsi="宋体"/>
                <w:b/>
                <w:bCs/>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HRB400直径10mm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20</w:t>
            </w:r>
          </w:p>
        </w:tc>
        <w:tc>
          <w:tcPr>
            <w:tcW w:w="2421" w:type="dxa"/>
            <w:vMerge w:val="restar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满足</w:t>
            </w:r>
          </w:p>
          <w:p>
            <w:pPr>
              <w:keepNext w:val="0"/>
              <w:keepLines w:val="0"/>
              <w:pageBreakBefore w:val="0"/>
              <w:kinsoku/>
              <w:wordWrap/>
              <w:overflowPunct/>
              <w:topLinePunct w:val="0"/>
              <w:autoSpaceDE/>
              <w:autoSpaceDN/>
              <w:bidi w:val="0"/>
              <w:adjustRightInd/>
              <w:snapToGrid/>
              <w:spacing w:line="280" w:lineRule="exact"/>
              <w:ind w:firstLine="182" w:firstLineChars="83"/>
              <w:rPr>
                <w:color w:val="000000" w:themeColor="text1"/>
                <w:sz w:val="22"/>
                <w:szCs w:val="18"/>
                <w14:textFill>
                  <w14:solidFill>
                    <w14:schemeClr w14:val="tx1"/>
                  </w14:solidFill>
                </w14:textFill>
              </w:rPr>
            </w:pPr>
            <w:r>
              <w:rPr>
                <w:color w:val="000000" w:themeColor="text1"/>
                <w:sz w:val="22"/>
                <w:szCs w:val="18"/>
                <w14:textFill>
                  <w14:solidFill>
                    <w14:schemeClr w14:val="tx1"/>
                  </w14:solidFill>
                </w14:textFill>
              </w:rPr>
              <w:t>(GB1499-1-20</w:t>
            </w:r>
            <w:r>
              <w:rPr>
                <w:rFonts w:hint="eastAsia"/>
                <w:color w:val="000000" w:themeColor="text1"/>
                <w:sz w:val="22"/>
                <w:szCs w:val="18"/>
                <w14:textFill>
                  <w14:solidFill>
                    <w14:schemeClr w14:val="tx1"/>
                  </w14:solidFill>
                </w14:textFill>
              </w:rPr>
              <w:t>24</w:t>
            </w:r>
          </w:p>
          <w:p>
            <w:pPr>
              <w:keepNext w:val="0"/>
              <w:keepLines w:val="0"/>
              <w:pageBreakBefore w:val="0"/>
              <w:kinsoku/>
              <w:wordWrap/>
              <w:overflowPunct/>
              <w:topLinePunct w:val="0"/>
              <w:autoSpaceDE/>
              <w:autoSpaceDN/>
              <w:bidi w:val="0"/>
              <w:adjustRightInd/>
              <w:snapToGrid/>
              <w:spacing w:line="280" w:lineRule="exact"/>
              <w:ind w:firstLine="182" w:firstLineChars="83"/>
              <w:rPr>
                <w:color w:val="000000" w:themeColor="text1"/>
                <w:sz w:val="22"/>
                <w:szCs w:val="18"/>
                <w14:textFill>
                  <w14:solidFill>
                    <w14:schemeClr w14:val="tx1"/>
                  </w14:solidFill>
                </w14:textFill>
              </w:rPr>
            </w:pPr>
            <w:r>
              <w:rPr>
                <w:rFonts w:hint="eastAsia"/>
                <w:bCs/>
                <w:color w:val="000000" w:themeColor="text1"/>
                <w:sz w:val="22"/>
                <w14:textFill>
                  <w14:solidFill>
                    <w14:schemeClr w14:val="tx1"/>
                  </w14:solidFill>
                </w14:textFill>
              </w:rPr>
              <w:t>GB1499.2-2024</w:t>
            </w:r>
            <w:r>
              <w:rPr>
                <w:color w:val="000000" w:themeColor="text1"/>
                <w:sz w:val="22"/>
                <w:szCs w:val="18"/>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12</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40</w:t>
            </w:r>
          </w:p>
        </w:tc>
        <w:tc>
          <w:tcPr>
            <w:tcW w:w="2421" w:type="dxa"/>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14</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80</w:t>
            </w:r>
          </w:p>
        </w:tc>
        <w:tc>
          <w:tcPr>
            <w:tcW w:w="2421" w:type="dxa"/>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16</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460</w:t>
            </w:r>
          </w:p>
        </w:tc>
        <w:tc>
          <w:tcPr>
            <w:tcW w:w="2421" w:type="dxa"/>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18</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450</w:t>
            </w:r>
          </w:p>
        </w:tc>
        <w:tc>
          <w:tcPr>
            <w:tcW w:w="2421" w:type="dxa"/>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20</w:t>
            </w:r>
            <w:r>
              <w:rPr>
                <w:rFonts w:asciiTheme="minorEastAsia" w:hAnsiTheme="minorEastAsia" w:eastAsiaTheme="minorEastAsia"/>
                <w:color w:val="000000" w:themeColor="text1"/>
                <w:sz w:val="24"/>
                <w:szCs w:val="24"/>
                <w14:textFill>
                  <w14:solidFill>
                    <w14:schemeClr w14:val="tx1"/>
                  </w14:solidFill>
                </w14:textFill>
              </w:rPr>
              <w:t>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550</w:t>
            </w:r>
          </w:p>
        </w:tc>
        <w:tc>
          <w:tcPr>
            <w:tcW w:w="2421" w:type="dxa"/>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热轧带肋钢筋</w:t>
            </w: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5mm</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color w:val="000000"/>
                <w:szCs w:val="24"/>
              </w:rPr>
              <w:t>t</w:t>
            </w:r>
          </w:p>
        </w:tc>
        <w:tc>
          <w:tcPr>
            <w:tcW w:w="1419" w:type="dxa"/>
          </w:tcPr>
          <w:p>
            <w:pPr>
              <w:keepNext w:val="0"/>
              <w:keepLines w:val="0"/>
              <w:pageBreakBefore w:val="0"/>
              <w:kinsoku/>
              <w:wordWrap/>
              <w:overflowPunct/>
              <w:topLinePunct w:val="0"/>
              <w:autoSpaceDE/>
              <w:autoSpaceDN/>
              <w:bidi w:val="0"/>
              <w:adjustRightInd/>
              <w:snapToGrid/>
              <w:spacing w:line="280" w:lineRule="exact"/>
              <w:ind w:firstLine="440"/>
              <w:jc w:val="both"/>
              <w:textAlignment w:val="center"/>
              <w:rPr>
                <w:color w:val="000000"/>
                <w:szCs w:val="24"/>
              </w:rPr>
            </w:pPr>
            <w:r>
              <w:rPr>
                <w:rFonts w:hint="eastAsia" w:ascii="宋体" w:hAnsi="宋体" w:cs="宋体"/>
                <w:color w:val="000000" w:themeColor="text1"/>
                <w:sz w:val="22"/>
                <w:szCs w:val="22"/>
                <w14:textFill>
                  <w14:solidFill>
                    <w14:schemeClr w14:val="tx1"/>
                  </w14:solidFill>
                </w14:textFill>
              </w:rPr>
              <w:t>100</w:t>
            </w:r>
          </w:p>
        </w:tc>
        <w:tc>
          <w:tcPr>
            <w:tcW w:w="2421" w:type="dxa"/>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6"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p>
        </w:tc>
        <w:tc>
          <w:tcPr>
            <w:tcW w:w="2400" w:type="dxa"/>
            <w:vAlign w:val="center"/>
          </w:tcPr>
          <w:p>
            <w:pPr>
              <w:pStyle w:val="6"/>
              <w:keepNext w:val="0"/>
              <w:keepLines w:val="0"/>
              <w:pageBreakBefore w:val="0"/>
              <w:kinsoku/>
              <w:wordWrap/>
              <w:overflowPunct/>
              <w:topLinePunct w:val="0"/>
              <w:autoSpaceDE/>
              <w:autoSpaceDN/>
              <w:bidi w:val="0"/>
              <w:adjustRightInd/>
              <w:snapToGrid/>
              <w:spacing w:line="28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1292"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rPr>
                <w:color w:val="000000"/>
                <w:szCs w:val="24"/>
              </w:rPr>
            </w:pPr>
            <w:r>
              <w:rPr>
                <w:rFonts w:hint="eastAsia"/>
                <w:color w:val="000000"/>
                <w:szCs w:val="24"/>
              </w:rPr>
              <w:t>t</w:t>
            </w:r>
          </w:p>
        </w:tc>
        <w:tc>
          <w:tcPr>
            <w:tcW w:w="1419" w:type="dxa"/>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color w:val="000000"/>
                <w:szCs w:val="24"/>
              </w:rPr>
            </w:pPr>
            <w:r>
              <w:rPr>
                <w:rFonts w:hint="eastAsia"/>
                <w:color w:val="000000"/>
                <w:szCs w:val="24"/>
              </w:rPr>
              <w:t>1700</w:t>
            </w:r>
          </w:p>
        </w:tc>
        <w:tc>
          <w:tcPr>
            <w:tcW w:w="2421" w:type="dxa"/>
          </w:tcPr>
          <w:p>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eastAsia" w:ascii="宋体" w:hAnsi="宋体"/>
                <w:color w:val="000000"/>
                <w:szCs w:val="24"/>
              </w:rPr>
            </w:pPr>
          </w:p>
        </w:tc>
      </w:tr>
    </w:tbl>
    <w:p>
      <w:pPr>
        <w:pStyle w:val="4"/>
        <w:widowControl w:val="0"/>
        <w:spacing w:before="0" w:line="336" w:lineRule="auto"/>
        <w:ind w:firstLine="482"/>
        <w:rPr>
          <w:rFonts w:ascii="Times New Roman" w:hAnsi="Times New Roman" w:cs="Times New Roman"/>
          <w:b/>
          <w:bCs/>
          <w:szCs w:val="21"/>
        </w:rPr>
      </w:pPr>
      <w:r>
        <w:rPr>
          <w:rFonts w:ascii="Times New Roman" w:hAnsi="Times New Roman" w:cs="Times New Roman"/>
          <w:b/>
          <w:bCs/>
          <w:szCs w:val="21"/>
        </w:rPr>
        <w:t>3、</w:t>
      </w:r>
      <w:r>
        <w:rPr>
          <w:rFonts w:ascii="Times New Roman" w:hAnsi="Times New Roman" w:cs="Times New Roman"/>
          <w:color w:val="000000"/>
          <w:szCs w:val="21"/>
        </w:rPr>
        <w:t>报价以</w:t>
      </w:r>
      <w:r>
        <w:rPr>
          <w:rFonts w:hint="eastAsia" w:ascii="宋体" w:hAnsi="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rPr>
        <w:t>）</w:t>
      </w:r>
      <w:r>
        <w:rPr>
          <w:rFonts w:ascii="Times New Roman" w:hAnsi="Times New Roman" w:cs="Times New Roman"/>
          <w:szCs w:val="21"/>
        </w:rPr>
        <w:t>202</w:t>
      </w:r>
      <w:r>
        <w:rPr>
          <w:rFonts w:hint="eastAsia" w:ascii="Times New Roman" w:hAnsi="Times New Roman" w:cs="Times New Roman"/>
          <w:szCs w:val="21"/>
        </w:rPr>
        <w:t>5</w:t>
      </w:r>
      <w:r>
        <w:rPr>
          <w:rFonts w:ascii="Times New Roman" w:hAnsi="Times New Roman" w:cs="Times New Roman"/>
          <w:szCs w:val="21"/>
        </w:rPr>
        <w:t>年</w:t>
      </w:r>
      <w:r>
        <w:rPr>
          <w:rFonts w:hint="eastAsia" w:ascii="Times New Roman" w:hAnsi="Times New Roman" w:cs="Times New Roman"/>
          <w:bCs/>
          <w:kern w:val="44"/>
          <w:szCs w:val="28"/>
        </w:rPr>
        <w:t>01</w:t>
      </w:r>
      <w:r>
        <w:rPr>
          <w:rFonts w:ascii="Times New Roman" w:hAnsi="Times New Roman" w:cs="Times New Roman"/>
          <w:szCs w:val="21"/>
        </w:rPr>
        <w:t>月</w:t>
      </w:r>
      <w:r>
        <w:rPr>
          <w:rFonts w:hint="eastAsia" w:ascii="Times New Roman" w:hAnsi="Times New Roman" w:cs="Times New Roman"/>
          <w:szCs w:val="21"/>
        </w:rPr>
        <w:t>1</w:t>
      </w:r>
      <w:r>
        <w:rPr>
          <w:rFonts w:hint="eastAsia" w:ascii="Times New Roman" w:hAnsi="Times New Roman" w:cs="Times New Roman"/>
          <w:szCs w:val="21"/>
          <w:lang w:val="en-US" w:eastAsia="zh-CN"/>
        </w:rPr>
        <w:t>7</w:t>
      </w:r>
      <w:r>
        <w:rPr>
          <w:rFonts w:ascii="Times New Roman" w:hAnsi="Times New Roman" w:cs="Times New Roman"/>
          <w:szCs w:val="21"/>
        </w:rPr>
        <w:t>日</w:t>
      </w:r>
      <w:r>
        <w:rPr>
          <w:rFonts w:ascii="Times New Roman" w:hAnsi="Times New Roman" w:cs="Times New Roman"/>
          <w:color w:val="000000"/>
          <w:szCs w:val="21"/>
        </w:rPr>
        <w:t>第一次发布的</w:t>
      </w:r>
      <w:r>
        <w:rPr>
          <w:rFonts w:hint="eastAsia" w:ascii="Times New Roman" w:hAnsi="Times New Roman" w:cs="Times New Roman"/>
          <w:b/>
          <w:bCs/>
          <w:color w:val="000000"/>
          <w:szCs w:val="21"/>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宋体" w:hAnsi="宋体"/>
          <w:b/>
          <w:color w:val="000000"/>
          <w:szCs w:val="24"/>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hint="eastAsia" w:ascii="Times New Roman" w:hAnsi="Times New Roman" w:cs="Times New Roman"/>
          <w:bCs/>
          <w:color w:val="000000"/>
          <w:szCs w:val="21"/>
        </w:rPr>
        <w:t>，</w:t>
      </w:r>
      <w:r>
        <w:rPr>
          <w:rFonts w:ascii="Times New Roman" w:hAnsi="Times New Roman" w:cs="Times New Roman"/>
          <w:color w:val="000000"/>
          <w:szCs w:val="21"/>
        </w:rPr>
        <w:t>该上下浮价报价为</w:t>
      </w:r>
      <w:r>
        <w:rPr>
          <w:rFonts w:ascii="Times New Roman" w:hAnsi="Times New Roman" w:cs="Times New Roman"/>
          <w:b/>
          <w:bCs/>
          <w:color w:val="000000"/>
          <w:szCs w:val="21"/>
        </w:rPr>
        <w:t>投标报价表</w:t>
      </w:r>
      <w:r>
        <w:rPr>
          <w:rFonts w:ascii="Times New Roman" w:hAnsi="Times New Roman" w:cs="Times New Roman"/>
          <w:color w:val="000000"/>
          <w:szCs w:val="21"/>
        </w:rPr>
        <w:t>所列规格钢材的上下浮价</w:t>
      </w:r>
      <w:r>
        <w:rPr>
          <w:rFonts w:ascii="Times New Roman" w:hAnsi="Times New Roman" w:cs="Times New Roman"/>
          <w:bCs/>
          <w:color w:val="000000"/>
          <w:szCs w:val="21"/>
        </w:rPr>
        <w:t>；</w:t>
      </w:r>
      <w:r>
        <w:rPr>
          <w:rFonts w:ascii="Times New Roman" w:hAnsi="Times New Roman" w:cs="Times New Roman"/>
          <w:b/>
          <w:szCs w:val="21"/>
        </w:rPr>
        <w:t>最终结算单价按如下方式计算</w:t>
      </w:r>
      <w:r>
        <w:rPr>
          <w:rFonts w:ascii="Times New Roman" w:hAnsi="Times New Roman" w:cs="Times New Roman"/>
          <w:b/>
          <w:color w:val="000000"/>
          <w:szCs w:val="21"/>
        </w:rPr>
        <w:t>：</w:t>
      </w:r>
      <w:r>
        <w:rPr>
          <w:rFonts w:hint="eastAsia" w:ascii="宋体" w:hAnsi="宋体"/>
          <w:bCs/>
          <w:szCs w:val="21"/>
        </w:rPr>
        <w:t>各直径规格钢筋每批结算单价（元/吨）=订货通知单当天“我的钢铁网”第一次发布的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各种规格钢材的上海地区价格±上下浮价</w:t>
      </w:r>
      <w:r>
        <w:rPr>
          <w:rFonts w:hint="eastAsia" w:ascii="宋体" w:hAnsi="宋体"/>
          <w:szCs w:val="21"/>
        </w:rPr>
        <w:t>。</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pPr>
        <w:widowControl w:val="0"/>
        <w:spacing w:line="336" w:lineRule="auto"/>
        <w:ind w:firstLine="480" w:firstLineChars="0"/>
        <w:rPr>
          <w:szCs w:val="21"/>
        </w:rPr>
      </w:pPr>
      <w:r>
        <w:rPr>
          <w:szCs w:val="21"/>
        </w:rPr>
        <w:t>4、投标报价均包含</w:t>
      </w:r>
      <w:r>
        <w:rPr>
          <w:rFonts w:hint="eastAsia"/>
        </w:rPr>
        <w:t>货款、运输费、管理费、利润、税费，并包含钢材装车、运输、卸车等全过程的安全保险、措施、以及如发生安全事故导致的赔偿等全部费用，</w:t>
      </w:r>
      <w:r>
        <w:t>提供税率为13%的增值税专用发票（税金由中标人承担，包含在钢材价格中），</w:t>
      </w:r>
      <w:r>
        <w:rPr>
          <w:rFonts w:hint="eastAsia"/>
        </w:rPr>
        <w:t>中标人不得以任何理由额外索取任何用</w:t>
      </w:r>
      <w:r>
        <w:t>。</w:t>
      </w:r>
    </w:p>
    <w:p>
      <w:pPr>
        <w:widowControl w:val="0"/>
        <w:spacing w:line="336" w:lineRule="auto"/>
        <w:ind w:firstLine="480"/>
        <w:rPr>
          <w:color w:val="000000"/>
          <w:szCs w:val="21"/>
        </w:rPr>
      </w:pPr>
      <w:r>
        <w:rPr>
          <w:szCs w:val="21"/>
        </w:rPr>
        <w:t>5、供货时间：预计在</w:t>
      </w:r>
      <w:r>
        <w:rPr>
          <w:rFonts w:hint="eastAsia"/>
          <w:szCs w:val="21"/>
        </w:rPr>
        <w:t>2025年2月1日至2026年10月31日</w:t>
      </w:r>
      <w:r>
        <w:rPr>
          <w:szCs w:val="21"/>
        </w:rPr>
        <w:t>完成供应，供应本次采购共约</w:t>
      </w:r>
      <w:r>
        <w:rPr>
          <w:rFonts w:hint="eastAsia"/>
          <w:szCs w:val="21"/>
        </w:rPr>
        <w:t>1700</w:t>
      </w:r>
      <w:r>
        <w:rPr>
          <w:szCs w:val="21"/>
        </w:rPr>
        <w:t>吨，具体规格数量以项目部实际需要为准，具体送货时间、规格、数量</w:t>
      </w:r>
      <w:r>
        <w:rPr>
          <w:color w:val="000000"/>
          <w:szCs w:val="21"/>
        </w:rPr>
        <w:t>以项目部根据工期计划提前3天通知。</w:t>
      </w:r>
    </w:p>
    <w:p>
      <w:pPr>
        <w:widowControl w:val="0"/>
        <w:spacing w:line="336" w:lineRule="auto"/>
        <w:ind w:firstLine="480"/>
        <w:rPr>
          <w:szCs w:val="21"/>
        </w:rPr>
      </w:pPr>
      <w:r>
        <w:rPr>
          <w:szCs w:val="21"/>
        </w:rPr>
        <w:t>6、送货地点：</w:t>
      </w:r>
      <w:r>
        <w:rPr>
          <w:rFonts w:hint="eastAsia"/>
          <w:szCs w:val="21"/>
        </w:rPr>
        <w:t>入海水道二期工程盐城市境内2024年度工程穿堤建筑物项目</w:t>
      </w:r>
      <w:r>
        <w:rPr>
          <w:szCs w:val="21"/>
        </w:rPr>
        <w:t>施工现场（</w:t>
      </w:r>
      <w:r>
        <w:rPr>
          <w:rFonts w:hint="eastAsia"/>
          <w:szCs w:val="21"/>
        </w:rPr>
        <w:t>江苏省盐城市阜宁县芦蒲镇芦杨地龙泵站</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pPr>
        <w:widowControl w:val="0"/>
        <w:spacing w:line="336" w:lineRule="auto"/>
        <w:ind w:firstLine="480"/>
        <w:rPr>
          <w:szCs w:val="21"/>
        </w:rPr>
      </w:pPr>
      <w:r>
        <w:rPr>
          <w:szCs w:val="21"/>
        </w:rPr>
        <w:t>7、钢筋质量满足GB/T 1499.</w:t>
      </w:r>
      <w:r>
        <w:rPr>
          <w:rFonts w:hint="eastAsia"/>
          <w:szCs w:val="21"/>
        </w:rPr>
        <w:t>1</w:t>
      </w:r>
      <w:r>
        <w:rPr>
          <w:szCs w:val="21"/>
        </w:rPr>
        <w:t>-20</w:t>
      </w:r>
      <w:r>
        <w:rPr>
          <w:rFonts w:hint="eastAsia"/>
          <w:szCs w:val="21"/>
        </w:rPr>
        <w:t>24、</w:t>
      </w:r>
      <w:r>
        <w:rPr>
          <w:szCs w:val="21"/>
        </w:rPr>
        <w:t>GB/T 1499.2-20</w:t>
      </w:r>
      <w:r>
        <w:rPr>
          <w:rFonts w:hint="eastAsia"/>
          <w:szCs w:val="21"/>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包括但不限于工程产品报废、返工返修、工期延误等费用和损失），负责赔偿相关损失，并承担相关责任。</w:t>
      </w:r>
    </w:p>
    <w:p>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1.结算依据</w:t>
      </w:r>
    </w:p>
    <w:p>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pPr>
        <w:widowControl w:val="0"/>
        <w:shd w:val="clear" w:color="auto" w:fill="FFFFFF"/>
        <w:spacing w:line="336" w:lineRule="auto"/>
        <w:ind w:firstLine="480"/>
        <w:rPr>
          <w:szCs w:val="24"/>
          <w:lang w:eastAsia="zh-Hans"/>
        </w:rPr>
      </w:pPr>
      <w:r>
        <w:rPr>
          <w:szCs w:val="24"/>
          <w:lang w:eastAsia="zh-Hans"/>
        </w:rPr>
        <w:t>2.结算方式</w:t>
      </w:r>
      <w:bookmarkStart w:id="4" w:name="_Hlk96449590"/>
    </w:p>
    <w:bookmarkEnd w:id="4"/>
    <w:p>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hd w:val="clear" w:color="auto" w:fill="FFFFFF"/>
        <w:spacing w:line="336" w:lineRule="auto"/>
        <w:ind w:firstLine="480"/>
        <w:rPr>
          <w:szCs w:val="24"/>
          <w:lang w:eastAsia="zh-Hans"/>
        </w:rPr>
      </w:pPr>
      <w:r>
        <w:rPr>
          <w:szCs w:val="24"/>
          <w:lang w:eastAsia="zh-Hans"/>
        </w:rPr>
        <w:t>3.付款方式</w:t>
      </w:r>
    </w:p>
    <w:p>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w:t>
      </w:r>
      <w:r>
        <w:rPr>
          <w:rFonts w:hint="eastAsia"/>
          <w:szCs w:val="24"/>
        </w:rPr>
        <w:t>已结算货</w:t>
      </w:r>
      <w:r>
        <w:rPr>
          <w:szCs w:val="24"/>
        </w:rPr>
        <w:t>款汇入供方合同确定的账户内。支付款项前，供货方须按付款额开具并加盖财务专用章的收款收据。</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3、投标报价表（见附件3）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本次招标评标标准在同等条件下以单位价格低者中标。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pPr>
        <w:widowControl w:val="0"/>
        <w:spacing w:line="336" w:lineRule="auto"/>
        <w:ind w:firstLine="480"/>
        <w:rPr>
          <w:szCs w:val="21"/>
        </w:rPr>
      </w:pPr>
      <w:r>
        <w:rPr>
          <w:szCs w:val="21"/>
          <w:lang w:eastAsia="zh-Hans"/>
        </w:rPr>
        <w:t>2、开标后未获得中标通知者，视为未中标，招标单位和未中标单位均不需向对方承担任何民事责任</w:t>
      </w:r>
      <w:r>
        <w:rPr>
          <w:szCs w:val="21"/>
        </w:rPr>
        <w:t>。</w:t>
      </w:r>
    </w:p>
    <w:p>
      <w:pPr>
        <w:widowControl w:val="0"/>
        <w:spacing w:line="336" w:lineRule="auto"/>
        <w:ind w:firstLine="480"/>
        <w:rPr>
          <w:szCs w:val="21"/>
          <w:lang w:eastAsia="zh-Hans"/>
        </w:rPr>
      </w:pPr>
      <w:r>
        <w:rPr>
          <w:szCs w:val="21"/>
          <w:lang w:eastAsia="zh-Hans"/>
        </w:rPr>
        <w:t>3、中标单位在接到中标通知后3个工作日内，提供</w:t>
      </w:r>
      <w:r>
        <w:rPr>
          <w:rFonts w:hint="eastAsia"/>
          <w:szCs w:val="21"/>
          <w:u w:val="single"/>
          <w:lang w:eastAsia="zh-Hans"/>
        </w:rPr>
        <w:t xml:space="preserve"> </w:t>
      </w:r>
      <w:r>
        <w:rPr>
          <w:rFonts w:hint="eastAsia"/>
          <w:b/>
          <w:bCs/>
          <w:szCs w:val="21"/>
          <w:u w:val="single"/>
          <w:lang w:val="en-US" w:eastAsia="zh-CN"/>
        </w:rPr>
        <w:t>叁拾伍</w:t>
      </w:r>
      <w:r>
        <w:rPr>
          <w:rFonts w:hint="eastAsia"/>
          <w:szCs w:val="21"/>
          <w:u w:val="single"/>
          <w:lang w:eastAsia="zh-Hans"/>
        </w:rPr>
        <w:t xml:space="preserve"> </w:t>
      </w:r>
      <w:r>
        <w:rPr>
          <w:rFonts w:hint="eastAsia"/>
          <w:szCs w:val="21"/>
          <w:lang w:eastAsia="zh-Hans"/>
        </w:rPr>
        <w:t>万元</w:t>
      </w:r>
      <w:r>
        <w:rPr>
          <w:szCs w:val="21"/>
          <w:lang w:eastAsia="zh-Hans"/>
        </w:rPr>
        <w:t>履约保证金后到</w:t>
      </w:r>
      <w:bookmarkStart w:id="5" w:name="_Hlk82700346"/>
      <w:r>
        <w:rPr>
          <w:rFonts w:hint="eastAsia"/>
          <w:szCs w:val="21"/>
          <w:lang w:eastAsia="zh-Hans"/>
        </w:rPr>
        <w:t>入海水道二期工程盐城市境内2024年度工程穿堤建筑物项目经理部</w:t>
      </w:r>
      <w:bookmarkStart w:id="8" w:name="_GoBack"/>
      <w:bookmarkEnd w:id="8"/>
      <w:r>
        <w:rPr>
          <w:szCs w:val="21"/>
          <w:lang w:eastAsia="zh-Hans"/>
        </w:rPr>
        <w:t>签订合同</w:t>
      </w:r>
      <w:bookmarkEnd w:id="5"/>
      <w:r>
        <w:rPr>
          <w:szCs w:val="21"/>
          <w:lang w:eastAsia="zh-Hans"/>
        </w:rPr>
        <w:t>，逾期不签订合同将作为自动放弃处理，并没收其投标保证金。</w:t>
      </w:r>
    </w:p>
    <w:p>
      <w:pPr>
        <w:widowControl w:val="0"/>
        <w:spacing w:line="336" w:lineRule="auto"/>
        <w:ind w:firstLine="480"/>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pPr>
        <w:rPr>
          <w:rFonts w:hint="eastAsia"/>
          <w:b/>
          <w:kern w:val="2"/>
          <w:sz w:val="32"/>
          <w:szCs w:val="32"/>
        </w:rPr>
      </w:pPr>
      <w:r>
        <w:rPr>
          <w:rFonts w:hint="eastAsia"/>
          <w:b/>
          <w:kern w:val="2"/>
          <w:sz w:val="32"/>
          <w:szCs w:val="32"/>
        </w:rPr>
        <w:br w:type="page"/>
      </w:r>
    </w:p>
    <w:p>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pPr>
        <w:ind w:firstLine="456"/>
        <w:rPr>
          <w:rFonts w:hint="eastAsia" w:ascii="宋体" w:hAnsi="宋体" w:cs="宋体"/>
          <w:color w:val="000000"/>
          <w:spacing w:val="-6"/>
        </w:rPr>
      </w:pPr>
    </w:p>
    <w:bookmarkEnd w:id="0"/>
    <w:bookmarkEnd w:id="1"/>
    <w:bookmarkEnd w:id="2"/>
    <w:p>
      <w:pPr>
        <w:shd w:val="clear" w:color="auto" w:fill="FFFFFF"/>
        <w:ind w:firstLine="3534" w:firstLineChars="800"/>
        <w:jc w:val="both"/>
        <w:rPr>
          <w:b/>
          <w:color w:val="000000"/>
          <w:sz w:val="32"/>
          <w:szCs w:val="32"/>
        </w:rPr>
      </w:pPr>
      <w:r>
        <w:rPr>
          <w:rFonts w:hint="eastAsia"/>
          <w:b/>
          <w:color w:val="000000"/>
          <w:sz w:val="44"/>
          <w:szCs w:val="44"/>
        </w:rPr>
        <w:t>钢材采购合同</w:t>
      </w:r>
    </w:p>
    <w:p>
      <w:pPr>
        <w:snapToGrid w:val="0"/>
        <w:spacing w:before="240" w:line="360" w:lineRule="auto"/>
        <w:ind w:firstLine="420"/>
        <w:jc w:val="center"/>
        <w:rPr>
          <w:rFonts w:hint="eastAsia" w:ascii="宋体" w:hAnsi="宋体"/>
          <w:bCs/>
          <w:color w:val="000000"/>
          <w:sz w:val="21"/>
          <w:szCs w:val="21"/>
          <w:u w:val="single"/>
        </w:rPr>
      </w:pPr>
      <w:r>
        <w:rPr>
          <w:rFonts w:hint="eastAsia" w:ascii="宋体" w:hAnsi="宋体"/>
          <w:bCs/>
          <w:color w:val="000000"/>
          <w:sz w:val="21"/>
          <w:szCs w:val="21"/>
        </w:rPr>
        <w:t xml:space="preserve">                                                   合同编号</w:t>
      </w:r>
      <w:r>
        <w:rPr>
          <w:rFonts w:hint="eastAsia" w:ascii="宋体" w:hAnsi="宋体"/>
          <w:b/>
          <w:bCs/>
          <w:color w:val="000000"/>
          <w:sz w:val="21"/>
          <w:szCs w:val="21"/>
        </w:rPr>
        <w:t>：</w:t>
      </w:r>
    </w:p>
    <w:p>
      <w:pPr>
        <w:shd w:val="clear" w:color="auto" w:fill="FFFFFF"/>
        <w:spacing w:line="400" w:lineRule="exact"/>
        <w:ind w:left="480" w:hanging="480" w:hangingChars="200"/>
        <w:rPr>
          <w:color w:val="000000"/>
          <w:szCs w:val="21"/>
        </w:rPr>
      </w:pPr>
      <w:r>
        <w:rPr>
          <w:rFonts w:hint="eastAsia"/>
          <w:color w:val="000000"/>
          <w:szCs w:val="21"/>
        </w:rPr>
        <w:t>买方：</w:t>
      </w:r>
      <w:r>
        <w:rPr>
          <w:rFonts w:hint="eastAsia"/>
          <w:color w:val="000000"/>
          <w:szCs w:val="21"/>
          <w:u w:val="single"/>
        </w:rPr>
        <w:t xml:space="preserve">入海水道二期工程盐城市境内2024年度工程穿堤建筑物项目经理部 </w:t>
      </w:r>
      <w:r>
        <w:rPr>
          <w:rFonts w:hint="eastAsia"/>
          <w:color w:val="000000"/>
          <w:szCs w:val="21"/>
        </w:rPr>
        <w:t xml:space="preserve">                                      （以下简称甲方）</w:t>
      </w:r>
    </w:p>
    <w:p>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pPr>
        <w:shd w:val="clear" w:color="auto" w:fill="FFFFFF"/>
        <w:spacing w:line="400" w:lineRule="exact"/>
        <w:ind w:firstLine="480"/>
        <w:rPr>
          <w:bCs/>
          <w:color w:val="000000"/>
          <w:szCs w:val="21"/>
        </w:rPr>
      </w:pPr>
      <w:r>
        <w:rPr>
          <w:rFonts w:hint="eastAsia"/>
          <w:bCs/>
          <w:color w:val="000000"/>
          <w:szCs w:val="21"/>
        </w:rPr>
        <w:t>一、钢材供应工程概况：</w:t>
      </w:r>
    </w:p>
    <w:p>
      <w:pPr>
        <w:pStyle w:val="21"/>
        <w:shd w:val="clear" w:color="auto" w:fill="FFFFFF"/>
        <w:spacing w:line="400" w:lineRule="exact"/>
        <w:ind w:firstLineChars="0"/>
        <w:rPr>
          <w:color w:val="000000"/>
          <w:kern w:val="0"/>
          <w:sz w:val="24"/>
          <w:szCs w:val="21"/>
        </w:rPr>
      </w:pPr>
      <w:r>
        <w:rPr>
          <w:rFonts w:hint="eastAsia"/>
          <w:color w:val="000000"/>
          <w:kern w:val="0"/>
          <w:sz w:val="24"/>
          <w:szCs w:val="21"/>
        </w:rPr>
        <w:t>1、工程名称：</w:t>
      </w:r>
      <w:r>
        <w:rPr>
          <w:rFonts w:hint="eastAsia"/>
          <w:b/>
          <w:bCs/>
          <w:color w:val="000000"/>
          <w:sz w:val="24"/>
          <w:u w:val="single"/>
        </w:rPr>
        <w:t>入海水道二期工程盐城市境内2024年度工程穿堤建筑物</w:t>
      </w:r>
    </w:p>
    <w:p>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rFonts w:hint="eastAsia"/>
          <w:szCs w:val="21"/>
        </w:rPr>
        <w:t>2025年2月1日至2026年10月31日</w:t>
      </w:r>
      <w:r>
        <w:rPr>
          <w:rFonts w:hint="eastAsia"/>
          <w:color w:val="000000"/>
          <w:szCs w:val="21"/>
        </w:rPr>
        <w:t>供应，具体供货开始和结束期限以项目实际需求为准。</w:t>
      </w:r>
    </w:p>
    <w:p>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w:t>
      </w:r>
      <w:r>
        <w:rPr>
          <w:rFonts w:hint="eastAsia"/>
          <w:color w:val="000000"/>
          <w:szCs w:val="21"/>
          <w:u w:val="single"/>
        </w:rPr>
        <w:t>入海水道二期工程盐城市境内2024年度工程穿堤建筑物</w:t>
      </w:r>
      <w:r>
        <w:rPr>
          <w:rFonts w:hint="eastAsia"/>
          <w:color w:val="000000"/>
          <w:szCs w:val="21"/>
        </w:rPr>
        <w:t>施工现场（盐城市阜宁县芦蒲镇芦杨地龙）</w:t>
      </w:r>
    </w:p>
    <w:p>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pPr>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pPr>
        <w:shd w:val="clear" w:color="auto" w:fill="FFFFFF"/>
        <w:spacing w:line="400" w:lineRule="exact"/>
        <w:ind w:firstLine="480"/>
        <w:rPr>
          <w:rFonts w:hint="eastAsia" w:ascii="宋体" w:hAnsi="宋体"/>
          <w:color w:val="000000"/>
          <w:szCs w:val="21"/>
        </w:rPr>
      </w:pPr>
      <w:r>
        <w:rPr>
          <w:rFonts w:hint="eastAsia" w:ascii="宋体" w:hAnsi="宋体"/>
          <w:color w:val="000000"/>
          <w:szCs w:val="21"/>
        </w:rPr>
        <w:t>钢材品牌指定</w:t>
      </w:r>
      <w:r>
        <w:rPr>
          <w:rFonts w:hint="eastAsia" w:ascii="宋体" w:hAnsi="宋体" w:eastAsiaTheme="minorEastAsia"/>
          <w:color w:val="000000" w:themeColor="text1"/>
          <w:kern w:val="2"/>
          <w:szCs w:val="24"/>
          <w14:textFill>
            <w14:solidFill>
              <w14:schemeClr w14:val="tx1"/>
            </w14:solidFill>
          </w14:textFill>
        </w:rPr>
        <w:t>沙钢</w:t>
      </w:r>
      <w:r>
        <w:rPr>
          <w:rFonts w:hint="eastAsia" w:ascii="宋体" w:hAnsi="宋体"/>
          <w:color w:val="000000" w:themeColor="text1"/>
          <w:kern w:val="2"/>
          <w:szCs w:val="24"/>
          <w14:textFill>
            <w14:solidFill>
              <w14:schemeClr w14:val="tx1"/>
            </w14:solidFill>
          </w14:textFill>
        </w:rPr>
        <w:t>、永钢、</w:t>
      </w:r>
      <w:r>
        <w:rPr>
          <w:rFonts w:hint="eastAsia" w:asciiTheme="minorEastAsia" w:hAnsiTheme="minorEastAsia" w:eastAsiaTheme="minorEastAsia"/>
          <w:color w:val="000000" w:themeColor="text1"/>
          <w14:textFill>
            <w14:solidFill>
              <w14:schemeClr w14:val="tx1"/>
            </w14:solidFill>
          </w14:textFill>
        </w:rPr>
        <w:t>中天等</w:t>
      </w:r>
      <w:r>
        <w:rPr>
          <w:rFonts w:hint="eastAsia" w:ascii="宋体" w:hAnsi="宋体"/>
          <w:color w:val="000000"/>
          <w:szCs w:val="21"/>
        </w:rPr>
        <w:t>。</w:t>
      </w:r>
    </w:p>
    <w:tbl>
      <w:tblPr>
        <w:tblStyle w:val="11"/>
        <w:tblW w:w="9559" w:type="dxa"/>
        <w:tblInd w:w="93" w:type="dxa"/>
        <w:tblLayout w:type="fixed"/>
        <w:tblCellMar>
          <w:top w:w="0" w:type="dxa"/>
          <w:left w:w="23" w:type="dxa"/>
          <w:bottom w:w="0" w:type="dxa"/>
          <w:right w:w="23" w:type="dxa"/>
        </w:tblCellMar>
      </w:tblPr>
      <w:tblGrid>
        <w:gridCol w:w="1607"/>
        <w:gridCol w:w="2400"/>
        <w:gridCol w:w="625"/>
        <w:gridCol w:w="811"/>
        <w:gridCol w:w="1150"/>
        <w:gridCol w:w="1175"/>
        <w:gridCol w:w="1791"/>
      </w:tblGrid>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品名</w:t>
            </w:r>
          </w:p>
        </w:tc>
        <w:tc>
          <w:tcPr>
            <w:tcW w:w="2400"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单位</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暂定</w:t>
            </w:r>
          </w:p>
          <w:p>
            <w:pPr>
              <w:spacing w:line="280" w:lineRule="exact"/>
              <w:ind w:firstLine="0" w:firstLineChars="0"/>
              <w:jc w:val="center"/>
              <w:textAlignment w:val="center"/>
              <w:rPr>
                <w:rFonts w:hint="eastAsia" w:ascii="宋体" w:hAnsi="宋体"/>
                <w:szCs w:val="24"/>
              </w:rPr>
            </w:pPr>
            <w:r>
              <w:rPr>
                <w:rFonts w:ascii="宋体" w:hAnsi="宋体"/>
                <w:szCs w:val="24"/>
                <w:lang w:bidi="ar"/>
              </w:rPr>
              <w:t>数量</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品牌</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spacing w:line="280" w:lineRule="exact"/>
              <w:ind w:firstLine="0" w:firstLineChars="0"/>
              <w:jc w:val="center"/>
              <w:textAlignment w:val="center"/>
              <w:rPr>
                <w:rFonts w:hint="eastAsia" w:ascii="宋体" w:hAnsi="宋体"/>
                <w:szCs w:val="24"/>
              </w:rPr>
            </w:pPr>
            <w:r>
              <w:rPr>
                <w:rFonts w:ascii="宋体" w:hAnsi="宋体"/>
                <w:szCs w:val="24"/>
                <w:lang w:bidi="ar"/>
              </w:rPr>
              <w:t>（元/吨）</w:t>
            </w:r>
          </w:p>
        </w:tc>
        <w:tc>
          <w:tcPr>
            <w:tcW w:w="179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上下（±）浮动</w:t>
            </w:r>
          </w:p>
          <w:p>
            <w:pPr>
              <w:spacing w:line="280" w:lineRule="exact"/>
              <w:ind w:firstLine="0" w:firstLineChars="0"/>
              <w:jc w:val="center"/>
              <w:textAlignment w:val="center"/>
              <w:rPr>
                <w:rFonts w:hint="eastAsia" w:ascii="宋体" w:hAnsi="宋体"/>
                <w:szCs w:val="24"/>
              </w:rPr>
            </w:pPr>
            <w:r>
              <w:rPr>
                <w:rFonts w:ascii="宋体" w:hAnsi="宋体"/>
                <w:szCs w:val="24"/>
                <w:lang w:bidi="ar"/>
              </w:rPr>
              <w:t>金额（元/吨）</w:t>
            </w: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HRB400直径10mm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ascii="宋体" w:hAnsi="宋体" w:cs="宋体"/>
                <w:color w:val="000000" w:themeColor="text1"/>
                <w:sz w:val="22"/>
                <w:szCs w:val="22"/>
                <w14:textFill>
                  <w14:solidFill>
                    <w14:schemeClr w14:val="tx1"/>
                  </w14:solidFill>
                </w14:textFill>
              </w:rPr>
              <w:t>2</w:t>
            </w:r>
            <w:r>
              <w:rPr>
                <w:rFonts w:hint="eastAsia" w:ascii="宋体" w:hAnsi="宋体" w:cs="宋体"/>
                <w:color w:val="000000" w:themeColor="text1"/>
                <w:sz w:val="22"/>
                <w:szCs w:val="22"/>
                <w14:textFill>
                  <w14:solidFill>
                    <w14:schemeClr w14:val="tx1"/>
                  </w14:solidFill>
                </w14:textFill>
              </w:rPr>
              <w:t>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3520</w:t>
            </w:r>
          </w:p>
        </w:tc>
        <w:tc>
          <w:tcPr>
            <w:tcW w:w="1791" w:type="dxa"/>
            <w:vMerge w:val="restart"/>
            <w:tcBorders>
              <w:top w:val="single" w:color="000000" w:sz="4" w:space="0"/>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12</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40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3430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14</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80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3430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16</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460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3330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18</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450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3330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20</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550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3330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5mm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100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FF0000"/>
                <w:szCs w:val="24"/>
                <w:lang w:bidi="ar"/>
              </w:rPr>
            </w:pPr>
            <w:r>
              <w:rPr>
                <w:rFonts w:hint="eastAsia" w:ascii="宋体" w:hAnsi="宋体"/>
                <w:b w:val="0"/>
                <w:bCs w:val="0"/>
                <w:color w:val="auto"/>
                <w:szCs w:val="24"/>
                <w:lang w:val="en-US" w:eastAsia="zh-CN"/>
              </w:rPr>
              <w:t>3390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320" w:lineRule="exact"/>
              <w:ind w:firstLine="0" w:firstLineChars="0"/>
              <w:jc w:val="center"/>
              <w:rPr>
                <w:rFonts w:hint="eastAsia" w:ascii="宋体" w:hAnsi="宋体"/>
                <w:szCs w:val="24"/>
              </w:rPr>
            </w:pP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textAlignment w:val="center"/>
              <w:rPr>
                <w:color w:val="000000"/>
                <w:szCs w:val="24"/>
              </w:rPr>
            </w:pPr>
            <w:r>
              <w:rPr>
                <w:rFonts w:hint="eastAsia"/>
                <w:color w:val="000000"/>
                <w:szCs w:val="24"/>
              </w:rPr>
              <w:t>1700</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320" w:lineRule="exact"/>
              <w:ind w:firstLine="0" w:firstLineChars="0"/>
              <w:jc w:val="center"/>
              <w:rPr>
                <w:rFonts w:hint="eastAsia" w:ascii="宋体" w:hAnsi="宋体"/>
                <w:szCs w:val="24"/>
              </w:rPr>
            </w:pPr>
            <w:r>
              <w:rPr>
                <w:rFonts w:hint="eastAsia" w:ascii="宋体" w:hAnsi="宋体"/>
                <w:szCs w:val="24"/>
              </w:rPr>
              <w:t>/</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320" w:lineRule="exact"/>
              <w:ind w:firstLine="0" w:firstLineChars="0"/>
              <w:jc w:val="center"/>
              <w:rPr>
                <w:rFonts w:hint="eastAsia" w:ascii="宋体" w:hAnsi="宋体"/>
                <w:szCs w:val="24"/>
              </w:rPr>
            </w:pPr>
            <w:r>
              <w:rPr>
                <w:rFonts w:hint="eastAsia" w:ascii="宋体" w:hAnsi="宋体"/>
                <w:szCs w:val="24"/>
              </w:rPr>
              <w:t>/</w:t>
            </w:r>
          </w:p>
        </w:tc>
        <w:tc>
          <w:tcPr>
            <w:tcW w:w="1791"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r>
              <w:rPr>
                <w:rFonts w:hint="eastAsia" w:ascii="宋体" w:hAnsi="宋体"/>
                <w:szCs w:val="24"/>
              </w:rPr>
              <w:t>/</w:t>
            </w:r>
          </w:p>
        </w:tc>
      </w:tr>
    </w:tbl>
    <w:p>
      <w:pPr>
        <w:shd w:val="clear" w:color="auto" w:fill="FFFFFF"/>
        <w:spacing w:line="400" w:lineRule="exact"/>
        <w:ind w:firstLine="480"/>
        <w:rPr>
          <w:szCs w:val="21"/>
        </w:rPr>
      </w:pPr>
      <w:r>
        <w:rPr>
          <w:rFonts w:hint="eastAsia"/>
          <w:szCs w:val="21"/>
        </w:rPr>
        <w:t>2、价格：上述为暂定价格，双方实际结算时按如下方式计算结算单价：</w:t>
      </w:r>
    </w:p>
    <w:p>
      <w:pPr>
        <w:pStyle w:val="4"/>
        <w:widowControl w:val="0"/>
        <w:ind w:firstLine="240" w:firstLineChars="100"/>
      </w:pPr>
      <w:r>
        <w:rPr>
          <w:rFonts w:hint="eastAsia" w:ascii="宋体" w:hAnsi="宋体"/>
          <w:bCs/>
          <w:szCs w:val="21"/>
        </w:rPr>
        <w:t>各直径规格钢筋每批结算单价（元/吨）=订货通知单当天“我的钢铁网”</w:t>
      </w:r>
      <w:r>
        <w:rPr>
          <w:rFonts w:hint="eastAsia" w:ascii="宋体" w:hAnsi="宋体" w:cs="宋体"/>
          <w:color w:val="000000"/>
          <w:szCs w:val="21"/>
        </w:rPr>
        <w:t>（</w:t>
      </w:r>
      <w:r>
        <w:rPr>
          <w:rFonts w:ascii="Times New Roman" w:hAnsi="Times New Roman" w:cs="Times New Roman"/>
          <w:color w:val="000000"/>
          <w:szCs w:val="21"/>
        </w:rPr>
        <w:t>www.mysteel.com</w:t>
      </w:r>
      <w:r>
        <w:rPr>
          <w:rFonts w:hint="eastAsia" w:ascii="Times New Roman" w:hAnsi="Times New Roman" w:cs="Times New Roman"/>
          <w:color w:val="000000"/>
          <w:szCs w:val="21"/>
        </w:rPr>
        <w:t>）</w:t>
      </w:r>
      <w:r>
        <w:rPr>
          <w:rFonts w:hint="eastAsia" w:ascii="宋体" w:hAnsi="宋体"/>
          <w:bCs/>
          <w:szCs w:val="21"/>
        </w:rPr>
        <w:t>第一次发布的</w:t>
      </w:r>
      <w:r>
        <w:rPr>
          <w:rFonts w:hint="eastAsia" w:asciiTheme="minorEastAsia" w:hAnsiTheme="minorEastAsia" w:eastAsiaTheme="minorEastAsia"/>
          <w:b/>
          <w:bCs/>
          <w:color w:val="000000" w:themeColor="text1"/>
          <w:szCs w:val="21"/>
          <w:u w:val="single"/>
          <w:lang w:val="en-US" w:eastAsia="zh-CN"/>
          <w14:textFill>
            <w14:solidFill>
              <w14:schemeClr w14:val="tx1"/>
            </w14:solidFill>
          </w14:textFill>
        </w:rPr>
        <w:t>中天</w:t>
      </w:r>
      <w:r>
        <w:rPr>
          <w:rFonts w:hint="eastAsia" w:asciiTheme="minorEastAsia" w:hAnsiTheme="minorEastAsia" w:eastAsiaTheme="minorEastAsia"/>
          <w:color w:val="000000" w:themeColor="text1"/>
          <w:szCs w:val="21"/>
          <w14:textFill>
            <w14:solidFill>
              <w14:schemeClr w14:val="tx1"/>
            </w14:solidFill>
          </w14:textFill>
        </w:rPr>
        <w:t>各种直径</w:t>
      </w:r>
      <w:r>
        <w:rPr>
          <w:rFonts w:hint="eastAsia" w:ascii="宋体" w:hAnsi="宋体"/>
          <w:bCs/>
          <w:szCs w:val="21"/>
        </w:rPr>
        <w:t>规格钢材的上海地区价格</w:t>
      </w:r>
      <w:r>
        <w:rPr>
          <w:rFonts w:ascii="宋体" w:hAnsi="宋体"/>
          <w:b/>
          <w:color w:val="000000"/>
          <w:szCs w:val="24"/>
        </w:rPr>
        <w:t>（非备注栏价格，下同）</w:t>
      </w:r>
      <w:r>
        <w:rPr>
          <w:rFonts w:hint="eastAsia" w:ascii="宋体" w:hAnsi="宋体"/>
          <w:bCs/>
          <w:szCs w:val="21"/>
        </w:rPr>
        <w:t>±上下浮价。</w:t>
      </w:r>
    </w:p>
    <w:p>
      <w:pPr>
        <w:shd w:val="clear" w:color="auto" w:fill="FFFFFF"/>
        <w:spacing w:line="400" w:lineRule="exact"/>
        <w:ind w:firstLine="482"/>
        <w:rPr>
          <w:rFonts w:hint="eastAsia" w:ascii="宋体" w:hAnsi="宋体"/>
          <w:bCs/>
          <w:szCs w:val="21"/>
        </w:rPr>
      </w:pPr>
      <w:r>
        <w:rPr>
          <w:rFonts w:hint="eastAsia" w:ascii="宋体" w:hAnsi="宋体" w:cs="宋体"/>
          <w:b/>
          <w:szCs w:val="21"/>
        </w:rPr>
        <w:t>“订货通知单”</w:t>
      </w:r>
      <w:r>
        <w:rPr>
          <w:b/>
          <w:szCs w:val="21"/>
        </w:rPr>
        <w:t>须注明</w:t>
      </w:r>
      <w:r>
        <w:rPr>
          <w:rFonts w:hint="eastAsia"/>
          <w:b/>
          <w:szCs w:val="21"/>
        </w:rPr>
        <w:t>基准价品牌</w:t>
      </w:r>
      <w:r>
        <w:rPr>
          <w:rFonts w:hint="eastAsia"/>
          <w:b/>
          <w:szCs w:val="21"/>
          <w:lang w:eastAsia="zh-CN"/>
        </w:rPr>
        <w:t>（</w:t>
      </w:r>
      <w:r>
        <w:rPr>
          <w:rFonts w:hint="eastAsia"/>
          <w:b/>
          <w:szCs w:val="21"/>
          <w:lang w:val="en-US" w:eastAsia="zh-CN"/>
        </w:rPr>
        <w:t>中天</w:t>
      </w:r>
      <w:r>
        <w:rPr>
          <w:rFonts w:hint="eastAsia"/>
          <w:b/>
          <w:szCs w:val="21"/>
          <w:lang w:eastAsia="zh-CN"/>
        </w:rPr>
        <w:t>）</w:t>
      </w:r>
      <w:r>
        <w:rPr>
          <w:b/>
          <w:szCs w:val="21"/>
        </w:rPr>
        <w:t>各规格钢材当天的网牌价，实际结算单价与实际所供品牌</w:t>
      </w:r>
      <w:r>
        <w:rPr>
          <w:rFonts w:hint="eastAsia"/>
          <w:b/>
          <w:szCs w:val="21"/>
        </w:rPr>
        <w:t>（基准价品牌除外）</w:t>
      </w:r>
      <w:r>
        <w:rPr>
          <w:b/>
          <w:szCs w:val="21"/>
        </w:rPr>
        <w:t>的网牌价无关。</w:t>
      </w:r>
    </w:p>
    <w:p>
      <w:pPr>
        <w:widowControl w:val="0"/>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w:t>
      </w:r>
      <w:r>
        <w:rPr>
          <w:color w:val="0000FF"/>
          <w:szCs w:val="21"/>
        </w:rPr>
        <w:t>合格</w:t>
      </w:r>
      <w:r>
        <w:rPr>
          <w:color w:val="000000"/>
          <w:szCs w:val="21"/>
        </w:rPr>
        <w:t>钢材数量为准。</w:t>
      </w:r>
    </w:p>
    <w:p>
      <w:pPr>
        <w:pStyle w:val="4"/>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ascii="Times New Roman" w:hAnsi="Times New Roman" w:cs="Times New Roman"/>
          <w:b/>
          <w:bCs/>
          <w:szCs w:val="21"/>
        </w:rPr>
        <w:t>钢筋长度为12m或9m，</w:t>
      </w:r>
      <w:r>
        <w:rPr>
          <w:rFonts w:ascii="Times New Roman" w:hAnsi="Times New Roman" w:cs="Times New Roman"/>
          <w:b/>
          <w:bCs/>
          <w:color w:val="000000"/>
          <w:szCs w:val="21"/>
        </w:rPr>
        <w:t>且均不加价</w:t>
      </w:r>
      <w:r>
        <w:rPr>
          <w:rFonts w:ascii="Times New Roman" w:hAnsi="Times New Roman" w:cs="Times New Roman"/>
          <w:color w:val="000000"/>
          <w:szCs w:val="21"/>
        </w:rPr>
        <w:t>。</w:t>
      </w:r>
    </w:p>
    <w:p>
      <w:pPr>
        <w:shd w:val="clear" w:color="auto" w:fill="FFFFFF"/>
        <w:spacing w:line="400" w:lineRule="exact"/>
        <w:ind w:firstLine="480"/>
        <w:rPr>
          <w:rFonts w:hint="eastAsia" w:ascii="宋体" w:hAnsi="宋体"/>
          <w:bCs/>
          <w:szCs w:val="21"/>
        </w:rPr>
      </w:pPr>
      <w:r>
        <w:rPr>
          <w:rFonts w:hint="eastAsia" w:ascii="宋体" w:hAnsi="宋体"/>
          <w:bCs/>
          <w:szCs w:val="21"/>
        </w:rPr>
        <w:t>5、</w:t>
      </w:r>
      <w:r>
        <w:rPr>
          <w:rFonts w:ascii="宋体" w:hAnsi="宋体"/>
          <w:bCs/>
          <w:szCs w:val="21"/>
        </w:rPr>
        <w:t>以上双方确定的价格为乙方送货到甲方工地指定地点的价格，该价格包含已包含货款、运输费、管理费、</w:t>
      </w:r>
      <w:r>
        <w:rPr>
          <w:rFonts w:hint="eastAsia" w:ascii="宋体" w:hAnsi="宋体"/>
          <w:bCs/>
          <w:szCs w:val="21"/>
        </w:rPr>
        <w:t>利润、税费，并包含钢材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1"/>
        <w:gridCol w:w="4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081" w:type="dxa"/>
          </w:tcPr>
          <w:p>
            <w:pPr>
              <w:spacing w:line="240" w:lineRule="auto"/>
              <w:ind w:firstLine="0" w:firstLineChars="0"/>
              <w:jc w:val="center"/>
              <w:rPr>
                <w:rFonts w:hint="eastAsia" w:ascii="宋体" w:hAnsi="宋体"/>
                <w:color w:val="000000"/>
                <w:szCs w:val="24"/>
              </w:rPr>
            </w:pPr>
            <w:r>
              <w:rPr>
                <w:rFonts w:hint="eastAsia" w:ascii="宋体" w:hAnsi="宋体"/>
                <w:color w:val="000000"/>
                <w:szCs w:val="24"/>
              </w:rPr>
              <w:t>甲方开票信息</w:t>
            </w:r>
          </w:p>
        </w:tc>
        <w:tc>
          <w:tcPr>
            <w:tcW w:w="4440" w:type="dxa"/>
          </w:tcPr>
          <w:p>
            <w:pPr>
              <w:spacing w:line="240" w:lineRule="auto"/>
              <w:ind w:firstLine="0" w:firstLineChars="0"/>
              <w:jc w:val="center"/>
              <w:rPr>
                <w:rFonts w:hint="eastAsia" w:ascii="宋体" w:hAnsi="宋体"/>
                <w:color w:val="000000"/>
                <w:szCs w:val="24"/>
              </w:rPr>
            </w:pPr>
            <w:r>
              <w:rPr>
                <w:rFonts w:hint="eastAsia" w:ascii="宋体" w:hAnsi="宋体"/>
                <w:color w:val="000000"/>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81" w:type="dxa"/>
          </w:tcPr>
          <w:p>
            <w:pPr>
              <w:spacing w:line="360" w:lineRule="auto"/>
              <w:ind w:firstLine="0" w:firstLineChars="0"/>
              <w:rPr>
                <w:rFonts w:hint="eastAsia" w:ascii="宋体" w:hAnsi="宋体"/>
                <w:color w:val="000000"/>
                <w:szCs w:val="24"/>
              </w:rPr>
            </w:pPr>
            <w:r>
              <w:rPr>
                <w:rFonts w:hint="eastAsia" w:ascii="宋体" w:hAnsi="宋体"/>
                <w:szCs w:val="21"/>
              </w:rPr>
              <w:t>甲方</w:t>
            </w:r>
            <w:r>
              <w:rPr>
                <w:rFonts w:hint="eastAsia" w:ascii="宋体" w:hAnsi="宋体"/>
                <w:sz w:val="18"/>
                <w:szCs w:val="18"/>
              </w:rPr>
              <w:t>： 江苏省水利建设工程有限公司盐城市阜宁县分公司</w:t>
            </w:r>
          </w:p>
        </w:tc>
        <w:tc>
          <w:tcPr>
            <w:tcW w:w="4440" w:type="dxa"/>
          </w:tcPr>
          <w:p>
            <w:pPr>
              <w:spacing w:line="240" w:lineRule="auto"/>
              <w:ind w:firstLine="0" w:firstLineChars="0"/>
              <w:rPr>
                <w:rFonts w:hint="eastAsia" w:ascii="宋体" w:hAnsi="宋体"/>
                <w:color w:val="000000"/>
                <w:szCs w:val="24"/>
              </w:rPr>
            </w:pPr>
            <w:r>
              <w:rPr>
                <w:rFonts w:hint="eastAsia" w:ascii="宋体" w:hAnsi="宋体"/>
                <w:color w:val="000000"/>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81" w:type="dxa"/>
          </w:tcPr>
          <w:p>
            <w:pPr>
              <w:spacing w:line="440" w:lineRule="exact"/>
              <w:ind w:firstLine="0" w:firstLineChars="0"/>
              <w:rPr>
                <w:rFonts w:hint="eastAsia" w:ascii="宋体" w:hAnsi="宋体"/>
                <w:color w:val="000000"/>
                <w:szCs w:val="24"/>
              </w:rPr>
            </w:pPr>
            <w:r>
              <w:rPr>
                <w:rFonts w:hint="eastAsia" w:ascii="宋体" w:hAnsi="宋体"/>
                <w:szCs w:val="21"/>
              </w:rPr>
              <w:t>纳税人识别号：91320923MAC9CMC33J</w:t>
            </w:r>
          </w:p>
        </w:tc>
        <w:tc>
          <w:tcPr>
            <w:tcW w:w="4440" w:type="dxa"/>
          </w:tcPr>
          <w:p>
            <w:pPr>
              <w:spacing w:line="240" w:lineRule="auto"/>
              <w:ind w:firstLine="0" w:firstLineChars="0"/>
              <w:rPr>
                <w:rFonts w:hint="eastAsia" w:ascii="宋体" w:hAnsi="宋体"/>
                <w:color w:val="000000"/>
                <w:szCs w:val="24"/>
              </w:rPr>
            </w:pPr>
            <w:r>
              <w:rPr>
                <w:rFonts w:hint="eastAsia" w:ascii="宋体" w:hAnsi="宋体"/>
                <w:color w:val="000000"/>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81" w:type="dxa"/>
          </w:tcPr>
          <w:p>
            <w:pPr>
              <w:spacing w:line="440" w:lineRule="exact"/>
              <w:ind w:firstLine="0" w:firstLineChars="0"/>
              <w:rPr>
                <w:rFonts w:hint="eastAsia" w:ascii="宋体" w:hAnsi="宋体"/>
                <w:color w:val="000000"/>
                <w:szCs w:val="24"/>
              </w:rPr>
            </w:pPr>
            <w:r>
              <w:rPr>
                <w:rFonts w:hint="eastAsia" w:ascii="宋体" w:hAnsi="宋体"/>
                <w:szCs w:val="21"/>
              </w:rPr>
              <w:t>地址：阜宁县羊寨镇永昌村八组13号</w:t>
            </w:r>
          </w:p>
        </w:tc>
        <w:tc>
          <w:tcPr>
            <w:tcW w:w="4440" w:type="dxa"/>
          </w:tcPr>
          <w:p>
            <w:pPr>
              <w:spacing w:line="240" w:lineRule="auto"/>
              <w:ind w:firstLine="0" w:firstLineChars="0"/>
              <w:rPr>
                <w:rFonts w:hint="eastAsia" w:ascii="宋体" w:hAnsi="宋体"/>
                <w:color w:val="000000"/>
                <w:szCs w:val="24"/>
              </w:rPr>
            </w:pPr>
            <w:r>
              <w:rPr>
                <w:rFonts w:hint="eastAsia" w:ascii="宋体" w:hAnsi="宋体"/>
                <w:color w:val="000000"/>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81" w:type="dxa"/>
          </w:tcPr>
          <w:p>
            <w:pPr>
              <w:spacing w:line="440" w:lineRule="exact"/>
              <w:ind w:firstLine="0" w:firstLineChars="0"/>
              <w:rPr>
                <w:rFonts w:hint="eastAsia" w:ascii="宋体" w:hAnsi="宋体"/>
                <w:color w:val="000000"/>
                <w:szCs w:val="24"/>
              </w:rPr>
            </w:pPr>
            <w:r>
              <w:rPr>
                <w:rFonts w:hint="eastAsia" w:ascii="宋体" w:hAnsi="宋体"/>
                <w:szCs w:val="21"/>
              </w:rPr>
              <w:t>电话：13815830145</w:t>
            </w:r>
          </w:p>
        </w:tc>
        <w:tc>
          <w:tcPr>
            <w:tcW w:w="4440" w:type="dxa"/>
          </w:tcPr>
          <w:p>
            <w:pPr>
              <w:spacing w:line="240" w:lineRule="auto"/>
              <w:ind w:firstLine="0" w:firstLineChars="0"/>
              <w:rPr>
                <w:rFonts w:hint="eastAsia" w:ascii="宋体" w:hAnsi="宋体"/>
                <w:color w:val="000000"/>
                <w:szCs w:val="24"/>
              </w:rPr>
            </w:pPr>
            <w:r>
              <w:rPr>
                <w:rFonts w:hint="eastAsia" w:ascii="宋体" w:hAnsi="宋体"/>
                <w:color w:val="000000"/>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81" w:type="dxa"/>
          </w:tcPr>
          <w:p>
            <w:pPr>
              <w:spacing w:line="440" w:lineRule="exact"/>
              <w:ind w:firstLine="0" w:firstLineChars="0"/>
              <w:rPr>
                <w:rFonts w:hint="eastAsia" w:ascii="宋体" w:hAnsi="宋体"/>
                <w:color w:val="000000"/>
                <w:szCs w:val="24"/>
              </w:rPr>
            </w:pPr>
            <w:r>
              <w:rPr>
                <w:rFonts w:hint="eastAsia" w:ascii="宋体" w:hAnsi="宋体"/>
                <w:szCs w:val="21"/>
              </w:rPr>
              <w:t>开户银行：工商银行阜宁县支行</w:t>
            </w:r>
          </w:p>
        </w:tc>
        <w:tc>
          <w:tcPr>
            <w:tcW w:w="4440" w:type="dxa"/>
          </w:tcPr>
          <w:p>
            <w:pPr>
              <w:spacing w:line="240" w:lineRule="auto"/>
              <w:ind w:firstLine="0" w:firstLineChars="0"/>
              <w:rPr>
                <w:rFonts w:hint="eastAsia" w:ascii="宋体" w:hAnsi="宋体"/>
                <w:color w:val="000000"/>
                <w:szCs w:val="24"/>
              </w:rPr>
            </w:pPr>
            <w:r>
              <w:rPr>
                <w:rFonts w:hint="eastAsia" w:ascii="宋体" w:hAnsi="宋体"/>
                <w:color w:val="000000"/>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081" w:type="dxa"/>
          </w:tcPr>
          <w:p>
            <w:pPr>
              <w:spacing w:line="440" w:lineRule="exact"/>
              <w:ind w:firstLine="0" w:firstLineChars="0"/>
              <w:rPr>
                <w:rFonts w:hint="eastAsia" w:ascii="宋体" w:hAnsi="宋体"/>
                <w:color w:val="000000"/>
                <w:szCs w:val="24"/>
              </w:rPr>
            </w:pPr>
            <w:r>
              <w:rPr>
                <w:rFonts w:hint="eastAsia" w:ascii="宋体" w:hAnsi="宋体"/>
                <w:szCs w:val="21"/>
              </w:rPr>
              <w:t>银行账号：1109670109200214025</w:t>
            </w:r>
          </w:p>
        </w:tc>
        <w:tc>
          <w:tcPr>
            <w:tcW w:w="4440" w:type="dxa"/>
          </w:tcPr>
          <w:p>
            <w:pPr>
              <w:spacing w:line="240" w:lineRule="auto"/>
              <w:ind w:firstLine="0" w:firstLineChars="0"/>
              <w:rPr>
                <w:rFonts w:hint="eastAsia" w:ascii="宋体" w:hAnsi="宋体"/>
                <w:color w:val="000000"/>
                <w:szCs w:val="24"/>
              </w:rPr>
            </w:pPr>
            <w:r>
              <w:rPr>
                <w:rFonts w:hint="eastAsia" w:ascii="宋体" w:hAnsi="宋体"/>
                <w:color w:val="000000"/>
                <w:szCs w:val="24"/>
              </w:rPr>
              <w:t>银行账号：</w:t>
            </w:r>
          </w:p>
        </w:tc>
      </w:tr>
    </w:tbl>
    <w:p>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三、质量与技术标准：所供钢材应符合GB/1499.1—2024、GB1499.2-2024标准。</w:t>
      </w:r>
    </w:p>
    <w:p>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四、合理损耗标准及计算方法：螺纹钢按理论重量计量交货，但该螺纹钢的实际负公差必须符合国家规定的质量检验标准；线材、板材等钢材按磅重计量交货。</w:t>
      </w:r>
    </w:p>
    <w:p>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pPr>
        <w:widowControl w:val="0"/>
        <w:shd w:val="clear" w:color="auto" w:fill="FFFFFF"/>
        <w:spacing w:line="360" w:lineRule="auto"/>
        <w:ind w:firstLine="480"/>
        <w:rPr>
          <w:bCs/>
          <w:color w:val="000000"/>
          <w:szCs w:val="21"/>
        </w:rPr>
      </w:pPr>
      <w:r>
        <w:rPr>
          <w:rFonts w:hint="eastAsia"/>
          <w:bCs/>
          <w:color w:val="000000"/>
          <w:szCs w:val="21"/>
        </w:rPr>
        <w:t>六、订货、收货与验收：</w:t>
      </w:r>
    </w:p>
    <w:p>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widowControl w:val="0"/>
        <w:shd w:val="clear" w:color="auto" w:fill="FFFFFF"/>
        <w:spacing w:line="360" w:lineRule="auto"/>
        <w:ind w:firstLine="480"/>
        <w:rPr>
          <w:color w:val="000000"/>
          <w:szCs w:val="21"/>
        </w:rPr>
      </w:pPr>
      <w:r>
        <w:rPr>
          <w:rFonts w:hint="eastAsia"/>
          <w:color w:val="000000"/>
          <w:szCs w:val="21"/>
        </w:rPr>
        <w:t xml:space="preserve">2、乙方将钢材送到工地指定地点时，甲方指派 </w:t>
      </w:r>
      <w:r>
        <w:rPr>
          <w:rFonts w:hint="eastAsia"/>
          <w:b/>
          <w:bCs/>
          <w:color w:val="000000"/>
          <w:szCs w:val="21"/>
          <w:u w:val="single"/>
        </w:rPr>
        <w:t xml:space="preserve">崔玉豹15062134632、刘坚19961825551 </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pPr>
        <w:widowControl w:val="0"/>
        <w:shd w:val="clear" w:color="auto" w:fill="FFFFFF"/>
        <w:spacing w:line="360" w:lineRule="auto"/>
        <w:ind w:firstLine="480"/>
        <w:rPr>
          <w:bCs/>
          <w:color w:val="000000"/>
          <w:szCs w:val="21"/>
        </w:rPr>
      </w:pPr>
      <w:r>
        <w:rPr>
          <w:rFonts w:hint="eastAsia"/>
          <w:bCs/>
          <w:color w:val="000000"/>
          <w:szCs w:val="21"/>
        </w:rPr>
        <w:t>七、钢材结算和付款方式：</w:t>
      </w:r>
    </w:p>
    <w:p>
      <w:pPr>
        <w:widowControl w:val="0"/>
        <w:shd w:val="clear" w:color="auto" w:fill="FFFFFF"/>
        <w:spacing w:line="360" w:lineRule="auto"/>
        <w:ind w:firstLine="482"/>
        <w:rPr>
          <w:b/>
          <w:color w:val="000000"/>
          <w:szCs w:val="21"/>
        </w:rPr>
      </w:pPr>
      <w:r>
        <w:rPr>
          <w:rFonts w:hint="eastAsia"/>
          <w:b/>
          <w:color w:val="000000"/>
          <w:szCs w:val="21"/>
        </w:rPr>
        <w:t>1、结算依据：</w:t>
      </w:r>
    </w:p>
    <w:p>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日前与甲方核对上月所供钢材数量及货款，甲方凭乙方开具的增值税专用发票及经双方核对一致的签收单进行结算，逾期未提交核对的签收单视同未发生。</w:t>
      </w:r>
    </w:p>
    <w:p>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w:t>
      </w:r>
      <w:r>
        <w:rPr>
          <w:rFonts w:hint="eastAsia"/>
          <w:color w:val="000000"/>
          <w:szCs w:val="21"/>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w:t>
      </w:r>
      <w:r>
        <w:rPr>
          <w:rFonts w:hint="eastAsia"/>
          <w:szCs w:val="24"/>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widowControl w:val="0"/>
        <w:shd w:val="clear" w:color="auto" w:fill="FFFFFF"/>
        <w:spacing w:line="360" w:lineRule="auto"/>
        <w:ind w:firstLine="482"/>
        <w:rPr>
          <w:color w:val="000000"/>
        </w:rPr>
      </w:pPr>
      <w:r>
        <w:rPr>
          <w:rFonts w:hint="eastAsia"/>
          <w:b/>
          <w:color w:val="000000"/>
          <w:szCs w:val="21"/>
        </w:rPr>
        <w:t>八、其他约定事项：</w:t>
      </w:r>
    </w:p>
    <w:p>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6" w:name="_Hlk77770211"/>
      <w:r>
        <w:rPr>
          <w:rFonts w:hint="eastAsia"/>
          <w:color w:val="000000"/>
          <w:szCs w:val="21"/>
        </w:rPr>
        <w:t>明显有损于甲方利益的合同条款变更事项</w:t>
      </w:r>
      <w:bookmarkEnd w:id="6"/>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hd w:val="clear" w:color="auto" w:fill="FFFFFF"/>
        <w:spacing w:line="360" w:lineRule="auto"/>
        <w:ind w:firstLine="480"/>
        <w:rPr>
          <w:szCs w:val="21"/>
        </w:rPr>
      </w:pPr>
      <w:r>
        <w:rPr>
          <w:rFonts w:hint="eastAsia"/>
          <w:szCs w:val="21"/>
        </w:rPr>
        <w:t>3、乙方需向甲方交纳</w:t>
      </w:r>
      <w:r>
        <w:rPr>
          <w:rFonts w:hint="eastAsia"/>
          <w:b/>
          <w:bCs/>
          <w:szCs w:val="21"/>
          <w:u w:val="single"/>
          <w:lang w:val="en-US" w:eastAsia="zh-CN"/>
        </w:rPr>
        <w:t>叁拾伍</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pPr>
        <w:widowControl w:val="0"/>
        <w:shd w:val="clear" w:color="auto" w:fill="FFFFFF"/>
        <w:spacing w:line="360" w:lineRule="auto"/>
        <w:ind w:firstLine="480"/>
      </w:pPr>
      <w:r>
        <w:rPr>
          <w:rFonts w:hint="eastAsia"/>
        </w:rPr>
        <w:t>4、乙方未按“订货通知单”的规格、数量、时间要求供货，按违约处理。</w:t>
      </w:r>
    </w:p>
    <w:p>
      <w:pPr>
        <w:widowControl w:val="0"/>
        <w:shd w:val="clear" w:color="auto" w:fill="FFFFFF"/>
        <w:spacing w:line="360" w:lineRule="auto"/>
        <w:ind w:firstLine="482"/>
        <w:rPr>
          <w:b/>
          <w:bCs/>
          <w:color w:val="000000"/>
          <w:szCs w:val="21"/>
        </w:rPr>
      </w:pPr>
      <w:r>
        <w:rPr>
          <w:rFonts w:hint="eastAsia"/>
          <w:b/>
          <w:bCs/>
          <w:color w:val="000000"/>
          <w:szCs w:val="21"/>
        </w:rPr>
        <w:t>九、违约责任：</w:t>
      </w:r>
    </w:p>
    <w:p>
      <w:pPr>
        <w:widowControl w:val="0"/>
        <w:shd w:val="clear" w:color="auto" w:fill="FFFFFF"/>
        <w:spacing w:line="360" w:lineRule="auto"/>
        <w:ind w:firstLine="480"/>
        <w:rPr>
          <w:color w:val="000000"/>
          <w:szCs w:val="21"/>
        </w:rPr>
      </w:pPr>
      <w:r>
        <w:rPr>
          <w:rFonts w:hint="eastAsia"/>
          <w:color w:val="000000"/>
          <w:szCs w:val="21"/>
        </w:rPr>
        <w:t>甲乙双方应该严格履行各自的义务，否则，应视为违约，违约方应向守约方赔偿损失。</w:t>
      </w:r>
    </w:p>
    <w:p>
      <w:pPr>
        <w:widowControl w:val="0"/>
        <w:shd w:val="clear" w:color="auto" w:fill="FFFFFF"/>
        <w:spacing w:line="360" w:lineRule="auto"/>
        <w:ind w:firstLine="480"/>
        <w:rPr>
          <w:color w:val="000000"/>
          <w:szCs w:val="21"/>
        </w:rPr>
      </w:pPr>
      <w:r>
        <w:rPr>
          <w:rFonts w:hint="eastAsia"/>
          <w:color w:val="000000"/>
          <w:szCs w:val="21"/>
        </w:rPr>
        <w:t>如果乙方向甲方提供的钢材不符合本合同约定的指标，或者供货期超出甲方指定供货期3日的，甲方有权终止本合同的履行。</w:t>
      </w:r>
    </w:p>
    <w:p>
      <w:pPr>
        <w:widowControl w:val="0"/>
        <w:shd w:val="clear" w:color="auto" w:fill="FFFFFF"/>
        <w:spacing w:line="360" w:lineRule="auto"/>
        <w:ind w:firstLine="480"/>
        <w:rPr>
          <w:color w:val="000000"/>
          <w:szCs w:val="21"/>
        </w:rPr>
      </w:pP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pPr>
        <w:widowControl w:val="0"/>
        <w:shd w:val="clear" w:color="auto" w:fill="FFFFFF"/>
        <w:spacing w:line="360" w:lineRule="auto"/>
        <w:ind w:firstLine="480"/>
        <w:rPr>
          <w:bCs/>
          <w:color w:val="000000"/>
          <w:szCs w:val="21"/>
        </w:rPr>
      </w:pPr>
      <w:r>
        <w:rPr>
          <w:rFonts w:hint="eastAsia"/>
          <w:bCs/>
          <w:color w:val="000000"/>
          <w:szCs w:val="21"/>
        </w:rPr>
        <w:t>十、解决争议的方式：</w:t>
      </w:r>
    </w:p>
    <w:p>
      <w:pPr>
        <w:widowControl w:val="0"/>
        <w:shd w:val="clear" w:color="auto" w:fill="FFFFFF"/>
        <w:spacing w:line="360" w:lineRule="auto"/>
        <w:ind w:firstLine="480"/>
        <w:rPr>
          <w:color w:val="000000"/>
          <w:szCs w:val="21"/>
        </w:rPr>
      </w:pPr>
      <w:r>
        <w:rPr>
          <w:rFonts w:hint="eastAsia"/>
          <w:color w:val="000000"/>
          <w:szCs w:val="21"/>
        </w:rPr>
        <w:t>本合同在履行过程中如产生争议，甲、乙双方应友好协商；协商不成的，</w:t>
      </w:r>
      <w:r>
        <w:rPr>
          <w:rFonts w:hint="eastAsia" w:ascii="宋体" w:hAnsi="宋体" w:cs="宋体"/>
          <w:color w:val="000000"/>
          <w:szCs w:val="24"/>
        </w:rPr>
        <w:t>由扬州市</w:t>
      </w:r>
      <w:r>
        <w:rPr>
          <w:rFonts w:hint="eastAsia" w:ascii="宋体" w:hAnsi="宋体" w:cs="宋体"/>
          <w:color w:val="000000"/>
          <w:szCs w:val="24"/>
          <w:lang w:val="en-US" w:eastAsia="zh-CN"/>
        </w:rPr>
        <w:t>邗江</w:t>
      </w:r>
      <w:r>
        <w:rPr>
          <w:rFonts w:hint="eastAsia" w:ascii="宋体" w:hAnsi="宋体" w:cs="宋体"/>
          <w:color w:val="000000"/>
          <w:szCs w:val="24"/>
        </w:rPr>
        <w:t>区人民法院管辖</w:t>
      </w:r>
      <w:r>
        <w:rPr>
          <w:rFonts w:hint="eastAsia"/>
          <w:color w:val="000000"/>
          <w:szCs w:val="21"/>
        </w:rPr>
        <w:t>。本合同关于争议解决方式的约定具有最高的效力，双方以后发生的补充合同、会议纪要、来往函件、发料单、结算单等涉及到争议解决方式的，均不得对抗此约定。</w:t>
      </w:r>
    </w:p>
    <w:p>
      <w:pPr>
        <w:widowControl w:val="0"/>
        <w:shd w:val="clear" w:color="auto" w:fill="FFFFFF"/>
        <w:spacing w:line="360" w:lineRule="auto"/>
        <w:ind w:firstLine="480"/>
        <w:rPr>
          <w:bCs/>
          <w:color w:val="000000"/>
          <w:szCs w:val="21"/>
        </w:rPr>
      </w:pPr>
      <w:r>
        <w:rPr>
          <w:rFonts w:hint="eastAsia"/>
          <w:bCs/>
          <w:color w:val="000000"/>
          <w:szCs w:val="21"/>
        </w:rPr>
        <w:t>十一、本合同经甲乙双方盖章及授权签字人签字后生效，一式四份，甲方执三份，具有同等法律效力。</w:t>
      </w:r>
    </w:p>
    <w:p>
      <w:pPr>
        <w:widowControl w:val="0"/>
        <w:shd w:val="clear" w:color="auto" w:fill="FFFFFF"/>
        <w:spacing w:line="360" w:lineRule="auto"/>
        <w:ind w:firstLine="480"/>
        <w:rPr>
          <w:bCs/>
          <w:color w:val="000000"/>
          <w:szCs w:val="21"/>
        </w:rPr>
      </w:pPr>
      <w:r>
        <w:rPr>
          <w:rFonts w:hint="eastAsia"/>
          <w:bCs/>
          <w:color w:val="000000"/>
          <w:szCs w:val="21"/>
        </w:rPr>
        <w:t>十二、本合同附件：</w:t>
      </w:r>
    </w:p>
    <w:p>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pPr>
        <w:widowControl w:val="0"/>
        <w:shd w:val="clear" w:color="auto" w:fill="FFFFFF"/>
        <w:spacing w:line="360" w:lineRule="auto"/>
        <w:ind w:firstLine="480"/>
        <w:rPr>
          <w:color w:val="000000"/>
          <w:szCs w:val="21"/>
        </w:rPr>
      </w:pPr>
    </w:p>
    <w:p>
      <w:pPr>
        <w:spacing w:line="360" w:lineRule="auto"/>
        <w:ind w:firstLine="480"/>
        <w:rPr>
          <w:color w:val="000000"/>
          <w:szCs w:val="21"/>
        </w:rPr>
      </w:pPr>
    </w:p>
    <w:p>
      <w:pPr>
        <w:tabs>
          <w:tab w:val="left" w:pos="5040"/>
        </w:tabs>
        <w:spacing w:line="480" w:lineRule="auto"/>
        <w:ind w:firstLine="720" w:firstLineChars="30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 xml:space="preserve">    乙</w:t>
      </w:r>
      <w:r>
        <w:rPr>
          <w:color w:val="000000"/>
          <w:szCs w:val="21"/>
        </w:rPr>
        <w:t xml:space="preserve">    </w:t>
      </w:r>
      <w:r>
        <w:rPr>
          <w:rFonts w:hint="eastAsia"/>
          <w:color w:val="000000"/>
          <w:szCs w:val="21"/>
        </w:rPr>
        <w:t>方：</w:t>
      </w:r>
    </w:p>
    <w:p>
      <w:pPr>
        <w:tabs>
          <w:tab w:val="left" w:pos="5040"/>
        </w:tabs>
        <w:spacing w:line="480" w:lineRule="auto"/>
        <w:ind w:firstLine="720" w:firstLineChars="30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 xml:space="preserve">    地</w:t>
      </w:r>
      <w:r>
        <w:rPr>
          <w:color w:val="000000"/>
          <w:szCs w:val="21"/>
        </w:rPr>
        <w:t xml:space="preserve">    </w:t>
      </w:r>
      <w:r>
        <w:rPr>
          <w:rFonts w:hint="eastAsia"/>
          <w:color w:val="000000"/>
          <w:szCs w:val="21"/>
        </w:rPr>
        <w:t>址：</w:t>
      </w:r>
    </w:p>
    <w:p>
      <w:pPr>
        <w:tabs>
          <w:tab w:val="left" w:pos="5040"/>
        </w:tabs>
        <w:spacing w:line="480" w:lineRule="auto"/>
        <w:ind w:firstLine="480"/>
        <w:rPr>
          <w:color w:val="000000"/>
          <w:szCs w:val="21"/>
        </w:rPr>
      </w:pPr>
      <w:r>
        <w:rPr>
          <w:rFonts w:hint="eastAsia"/>
          <w:color w:val="000000"/>
          <w:szCs w:val="21"/>
        </w:rPr>
        <w:t>法定代表人：</w:t>
      </w:r>
      <w:r>
        <w:rPr>
          <w:rFonts w:hint="eastAsia"/>
          <w:color w:val="000000"/>
          <w:szCs w:val="21"/>
        </w:rPr>
        <w:tab/>
      </w:r>
      <w:r>
        <w:rPr>
          <w:rFonts w:hint="eastAsia"/>
          <w:color w:val="000000"/>
          <w:szCs w:val="21"/>
        </w:rPr>
        <w:t xml:space="preserve">  法定代表人：</w:t>
      </w:r>
    </w:p>
    <w:p>
      <w:pPr>
        <w:tabs>
          <w:tab w:val="left" w:pos="5040"/>
        </w:tabs>
        <w:spacing w:line="480" w:lineRule="auto"/>
        <w:ind w:firstLine="480"/>
        <w:rPr>
          <w:color w:val="000000"/>
          <w:szCs w:val="21"/>
        </w:rPr>
      </w:pPr>
      <w:r>
        <w:rPr>
          <w:rFonts w:hint="eastAsia"/>
          <w:color w:val="000000"/>
          <w:szCs w:val="21"/>
        </w:rPr>
        <w:t>授权委托人：</w:t>
      </w:r>
      <w:r>
        <w:rPr>
          <w:rFonts w:hint="eastAsia"/>
          <w:color w:val="000000"/>
          <w:szCs w:val="21"/>
        </w:rPr>
        <w:tab/>
      </w:r>
      <w:r>
        <w:rPr>
          <w:rFonts w:hint="eastAsia"/>
          <w:color w:val="000000"/>
          <w:szCs w:val="21"/>
        </w:rPr>
        <w:t xml:space="preserve">  授权委托人：</w:t>
      </w:r>
    </w:p>
    <w:p>
      <w:pPr>
        <w:tabs>
          <w:tab w:val="left" w:pos="5040"/>
        </w:tabs>
        <w:spacing w:line="480" w:lineRule="auto"/>
        <w:ind w:firstLine="720" w:firstLineChars="300"/>
        <w:rPr>
          <w:color w:val="000000"/>
          <w:szCs w:val="21"/>
        </w:rPr>
      </w:pPr>
      <w:r>
        <w:rPr>
          <w:rFonts w:hint="eastAsia"/>
          <w:color w:val="000000"/>
          <w:szCs w:val="21"/>
        </w:rPr>
        <w:t>联系电话：</w:t>
      </w:r>
      <w:r>
        <w:rPr>
          <w:rFonts w:hint="eastAsia"/>
          <w:color w:val="000000"/>
          <w:szCs w:val="21"/>
        </w:rPr>
        <w:tab/>
      </w:r>
      <w:r>
        <w:rPr>
          <w:rFonts w:hint="eastAsia"/>
          <w:color w:val="000000"/>
          <w:szCs w:val="21"/>
        </w:rPr>
        <w:t xml:space="preserve">    联系电话：</w:t>
      </w:r>
    </w:p>
    <w:p>
      <w:pPr>
        <w:spacing w:line="360" w:lineRule="auto"/>
        <w:ind w:firstLine="0" w:firstLineChars="0"/>
        <w:rPr>
          <w:b/>
          <w:sz w:val="18"/>
          <w:szCs w:val="18"/>
        </w:rPr>
      </w:pPr>
      <w:r>
        <w:rPr>
          <w:b/>
          <w:sz w:val="18"/>
          <w:szCs w:val="18"/>
        </w:rPr>
        <w:br w:type="page"/>
      </w:r>
      <w:r>
        <w:rPr>
          <w:b/>
          <w:sz w:val="18"/>
          <w:szCs w:val="18"/>
        </w:rPr>
        <w:t>第三章投标文件附件格式（附件1-8）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b/>
          <w:sz w:val="28"/>
          <w:szCs w:val="28"/>
          <w:u w:val="single"/>
        </w:rPr>
      </w:pPr>
      <w:r>
        <w:rPr>
          <w:rFonts w:hint="eastAsia"/>
          <w:b/>
          <w:sz w:val="28"/>
          <w:szCs w:val="28"/>
          <w:u w:val="single"/>
        </w:rPr>
        <w:t>江苏省水利建设工程有限公司</w:t>
      </w:r>
    </w:p>
    <w:p>
      <w:pPr>
        <w:spacing w:line="360" w:lineRule="exact"/>
        <w:ind w:firstLine="562"/>
        <w:jc w:val="center"/>
        <w:rPr>
          <w:rFonts w:eastAsia="黑体"/>
          <w:b/>
          <w:sz w:val="18"/>
          <w:szCs w:val="18"/>
        </w:rPr>
      </w:pPr>
      <w:r>
        <w:rPr>
          <w:rFonts w:hint="eastAsia"/>
          <w:b/>
          <w:sz w:val="28"/>
          <w:szCs w:val="28"/>
          <w:u w:val="single"/>
        </w:rPr>
        <w:t>入海水道二期工程盐城市境内2024年度工程穿堤建筑物项</w:t>
      </w:r>
      <w:r>
        <w:rPr>
          <w:b/>
          <w:sz w:val="28"/>
          <w:szCs w:val="28"/>
          <w:u w:val="single"/>
        </w:rPr>
        <w:t>目经理部</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r>
        <w:rPr>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firstLine="48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b/>
          <w:szCs w:val="24"/>
          <w:u w:val="single"/>
        </w:rPr>
        <w:t>入海水道二期工程盐城市境内2024年度工程穿堤建筑物</w:t>
      </w:r>
      <w:r>
        <w:rPr>
          <w:rFonts w:hint="eastAsia"/>
          <w:szCs w:val="24"/>
        </w:rPr>
        <w:t>所用钢筋的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rPr>
        <w:t>表</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Cs w:val="24"/>
        </w:rPr>
      </w:pPr>
      <w:r>
        <w:rPr>
          <w:szCs w:val="24"/>
        </w:rPr>
        <w:t>6</w:t>
      </w:r>
      <w:r>
        <w:rPr>
          <w:rFonts w:hint="eastAsia"/>
          <w:szCs w:val="24"/>
        </w:rPr>
        <w:t>、</w:t>
      </w:r>
      <w:r>
        <w:rPr>
          <w:szCs w:val="24"/>
        </w:rPr>
        <w:t>所有有关招投标的函电，请按下列地址联系：</w:t>
      </w:r>
    </w:p>
    <w:p>
      <w:pPr>
        <w:spacing w:line="360" w:lineRule="auto"/>
        <w:ind w:firstLine="480"/>
        <w:rPr>
          <w:szCs w:val="24"/>
        </w:rPr>
      </w:pPr>
    </w:p>
    <w:p>
      <w:pPr>
        <w:spacing w:line="480" w:lineRule="auto"/>
        <w:ind w:firstLine="480"/>
        <w:rPr>
          <w:szCs w:val="24"/>
        </w:rPr>
      </w:pPr>
      <w:r>
        <w:rPr>
          <w:szCs w:val="24"/>
        </w:rPr>
        <w:t>投标单位：                                   邮编：</w:t>
      </w:r>
    </w:p>
    <w:p>
      <w:pPr>
        <w:spacing w:line="480" w:lineRule="auto"/>
        <w:ind w:firstLine="480"/>
        <w:rPr>
          <w:szCs w:val="24"/>
        </w:rPr>
      </w:pPr>
      <w:r>
        <w:rPr>
          <w:szCs w:val="24"/>
        </w:rPr>
        <w:t xml:space="preserve">法定代表人（或委托代理人）：                  地址： </w:t>
      </w:r>
    </w:p>
    <w:p>
      <w:pPr>
        <w:spacing w:line="480" w:lineRule="auto"/>
        <w:ind w:firstLine="480"/>
        <w:rPr>
          <w:szCs w:val="24"/>
        </w:rPr>
      </w:pPr>
      <w:r>
        <w:rPr>
          <w:szCs w:val="24"/>
        </w:rPr>
        <w:t xml:space="preserve">电话： </w:t>
      </w:r>
    </w:p>
    <w:p>
      <w:pPr>
        <w:spacing w:line="480" w:lineRule="auto"/>
        <w:ind w:firstLine="480"/>
        <w:rPr>
          <w:szCs w:val="24"/>
        </w:rPr>
      </w:pPr>
      <w:r>
        <w:rPr>
          <w:szCs w:val="24"/>
        </w:rPr>
        <w:t>开户银行：                                   传真：</w:t>
      </w:r>
    </w:p>
    <w:p>
      <w:pPr>
        <w:spacing w:line="480" w:lineRule="auto"/>
        <w:ind w:firstLine="480"/>
        <w:rPr>
          <w:szCs w:val="24"/>
        </w:rPr>
      </w:pPr>
      <w:r>
        <w:rPr>
          <w:szCs w:val="24"/>
        </w:rPr>
        <w:t>开户帐号：                                   投标单位（公章）：</w:t>
      </w:r>
    </w:p>
    <w:p>
      <w:pPr>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pPr>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531" w:right="1134" w:bottom="1474" w:left="1134" w:header="737" w:footer="1134" w:gutter="0"/>
          <w:cols w:space="720" w:num="1"/>
          <w:docGrid w:type="lines" w:linePitch="312" w:charSpace="0"/>
        </w:sectPr>
      </w:pP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投标报价表</w:t>
      </w:r>
    </w:p>
    <w:p>
      <w:pPr>
        <w:spacing w:line="420" w:lineRule="exact"/>
        <w:ind w:firstLine="170" w:firstLineChars="71"/>
        <w:rPr>
          <w:rFonts w:hint="eastAsia" w:ascii="宋体" w:hAnsi="宋体"/>
          <w:color w:val="000000"/>
          <w:szCs w:val="24"/>
        </w:rPr>
      </w:pPr>
      <w:r>
        <w:rPr>
          <w:rFonts w:hint="eastAsia" w:ascii="宋体" w:hAnsi="宋体"/>
          <w:color w:val="000000"/>
          <w:szCs w:val="24"/>
        </w:rPr>
        <w:t>江苏省水利建设工程有限公司：</w:t>
      </w:r>
    </w:p>
    <w:p>
      <w:pPr>
        <w:spacing w:line="420" w:lineRule="exact"/>
        <w:ind w:left="21" w:leftChars="9" w:firstLine="720" w:firstLineChars="300"/>
        <w:rPr>
          <w:rFonts w:hint="eastAsia" w:ascii="宋体" w:hAnsi="宋体"/>
          <w:color w:val="000000"/>
          <w:szCs w:val="24"/>
        </w:rPr>
      </w:pPr>
      <w:r>
        <w:rPr>
          <w:rFonts w:hint="eastAsia" w:ascii="宋体" w:hAnsi="宋体"/>
          <w:color w:val="000000"/>
          <w:szCs w:val="24"/>
        </w:rPr>
        <w:t>我单位拟向贵公司供应</w:t>
      </w:r>
      <w:r>
        <w:rPr>
          <w:rFonts w:hint="eastAsia"/>
          <w:b/>
          <w:sz w:val="28"/>
          <w:szCs w:val="28"/>
          <w:u w:val="single"/>
        </w:rPr>
        <w:t>入海水道二期工程盐城市境内2024年度工程穿堤建筑物</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（仅限于</w:t>
      </w:r>
      <w:r>
        <w:rPr>
          <w:rFonts w:hint="eastAsia" w:ascii="宋体" w:hAnsi="宋体" w:eastAsiaTheme="minorEastAsia"/>
          <w:color w:val="000000" w:themeColor="text1"/>
          <w:kern w:val="2"/>
          <w:szCs w:val="24"/>
          <w14:textFill>
            <w14:solidFill>
              <w14:schemeClr w14:val="tx1"/>
            </w14:solidFill>
          </w14:textFill>
        </w:rPr>
        <w:t>沙钢</w:t>
      </w:r>
      <w:r>
        <w:rPr>
          <w:rFonts w:hint="eastAsia" w:ascii="宋体" w:hAnsi="宋体"/>
          <w:color w:val="000000" w:themeColor="text1"/>
          <w:kern w:val="2"/>
          <w:szCs w:val="24"/>
          <w14:textFill>
            <w14:solidFill>
              <w14:schemeClr w14:val="tx1"/>
            </w14:solidFill>
          </w14:textFill>
        </w:rPr>
        <w:t>、永钢、</w:t>
      </w:r>
      <w:r>
        <w:rPr>
          <w:rFonts w:hint="eastAsia" w:asciiTheme="minorEastAsia" w:hAnsiTheme="minorEastAsia" w:eastAsiaTheme="minorEastAsia"/>
          <w:color w:val="000000" w:themeColor="text1"/>
          <w14:textFill>
            <w14:solidFill>
              <w14:schemeClr w14:val="tx1"/>
            </w14:solidFill>
          </w14:textFill>
        </w:rPr>
        <w:t>中天等</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59" w:type="dxa"/>
        <w:tblInd w:w="93" w:type="dxa"/>
        <w:tblLayout w:type="fixed"/>
        <w:tblCellMar>
          <w:top w:w="0" w:type="dxa"/>
          <w:left w:w="23" w:type="dxa"/>
          <w:bottom w:w="0" w:type="dxa"/>
          <w:right w:w="23" w:type="dxa"/>
        </w:tblCellMar>
      </w:tblPr>
      <w:tblGrid>
        <w:gridCol w:w="1607"/>
        <w:gridCol w:w="2400"/>
        <w:gridCol w:w="625"/>
        <w:gridCol w:w="811"/>
        <w:gridCol w:w="1150"/>
        <w:gridCol w:w="1175"/>
        <w:gridCol w:w="1791"/>
      </w:tblGrid>
      <w:tr>
        <w:tblPrEx>
          <w:tblCellMar>
            <w:top w:w="0" w:type="dxa"/>
            <w:left w:w="23" w:type="dxa"/>
            <w:bottom w:w="0" w:type="dxa"/>
            <w:right w:w="23" w:type="dxa"/>
          </w:tblCellMar>
        </w:tblPrEx>
        <w:trPr>
          <w:trHeight w:val="595"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rPr>
            </w:pPr>
            <w:bookmarkStart w:id="7" w:name="_Hlk181777561"/>
            <w:r>
              <w:rPr>
                <w:rFonts w:ascii="宋体" w:hAnsi="宋体"/>
                <w:szCs w:val="24"/>
                <w:lang w:bidi="ar"/>
              </w:rPr>
              <w:t>品名</w:t>
            </w:r>
          </w:p>
        </w:tc>
        <w:tc>
          <w:tcPr>
            <w:tcW w:w="24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6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rPr>
            </w:pPr>
            <w:r>
              <w:rPr>
                <w:rFonts w:ascii="宋体" w:hAnsi="宋体"/>
                <w:szCs w:val="24"/>
                <w:lang w:bidi="ar"/>
              </w:rPr>
              <w:t>单位</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lang w:bidi="ar"/>
              </w:rPr>
            </w:pPr>
            <w:r>
              <w:rPr>
                <w:rFonts w:ascii="宋体" w:hAnsi="宋体"/>
                <w:szCs w:val="24"/>
                <w:lang w:bidi="ar"/>
              </w:rPr>
              <w:t>暂定</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rPr>
            </w:pPr>
            <w:r>
              <w:rPr>
                <w:rFonts w:ascii="宋体" w:hAnsi="宋体"/>
                <w:szCs w:val="24"/>
                <w:lang w:bidi="ar"/>
              </w:rPr>
              <w:t>数量</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lang w:bidi="ar"/>
              </w:rPr>
            </w:pPr>
            <w:r>
              <w:rPr>
                <w:rFonts w:ascii="宋体" w:hAnsi="宋体"/>
                <w:szCs w:val="24"/>
                <w:lang w:bidi="ar"/>
              </w:rPr>
              <w:t>品牌</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rPr>
            </w:pPr>
            <w:r>
              <w:rPr>
                <w:rFonts w:ascii="宋体" w:hAnsi="宋体"/>
                <w:szCs w:val="24"/>
                <w:lang w:bidi="ar"/>
              </w:rPr>
              <w:t>（元/吨）</w:t>
            </w:r>
          </w:p>
        </w:tc>
        <w:tc>
          <w:tcPr>
            <w:tcW w:w="17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lang w:bidi="ar"/>
              </w:rPr>
            </w:pPr>
            <w:r>
              <w:rPr>
                <w:rFonts w:ascii="宋体" w:hAnsi="宋体"/>
                <w:szCs w:val="24"/>
                <w:lang w:bidi="ar"/>
              </w:rPr>
              <w:t>上下（±）浮动</w:t>
            </w:r>
          </w:p>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eastAsia" w:ascii="宋体" w:hAnsi="宋体"/>
                <w:szCs w:val="24"/>
              </w:rPr>
            </w:pPr>
            <w:r>
              <w:rPr>
                <w:rFonts w:ascii="宋体" w:hAnsi="宋体"/>
                <w:szCs w:val="24"/>
                <w:lang w:bidi="ar"/>
              </w:rPr>
              <w:t>金额（元/吨）</w:t>
            </w: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HRB400直径10mm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ascii="宋体" w:hAnsi="宋体" w:cs="宋体"/>
                <w:color w:val="000000" w:themeColor="text1"/>
                <w:sz w:val="22"/>
                <w:szCs w:val="22"/>
                <w14:textFill>
                  <w14:solidFill>
                    <w14:schemeClr w14:val="tx1"/>
                  </w14:solidFill>
                </w14:textFill>
              </w:rPr>
              <w:t>2</w:t>
            </w:r>
            <w:r>
              <w:rPr>
                <w:rFonts w:hint="eastAsia" w:ascii="宋体" w:hAnsi="宋体" w:cs="宋体"/>
                <w:color w:val="000000" w:themeColor="text1"/>
                <w:sz w:val="22"/>
                <w:szCs w:val="22"/>
                <w14:textFill>
                  <w14:solidFill>
                    <w14:schemeClr w14:val="tx1"/>
                  </w14:solidFill>
                </w14:textFill>
              </w:rPr>
              <w:t>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rFonts w:hint="default" w:ascii="宋体" w:hAnsi="宋体" w:eastAsia="宋体"/>
                <w:szCs w:val="24"/>
                <w:lang w:val="en-US" w:eastAsia="zh-CN"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3520</w:t>
            </w:r>
          </w:p>
        </w:tc>
        <w:tc>
          <w:tcPr>
            <w:tcW w:w="1791" w:type="dxa"/>
            <w:vMerge w:val="restart"/>
            <w:tcBorders>
              <w:top w:val="single" w:color="000000" w:sz="4" w:space="0"/>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12</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40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3430</w:t>
            </w:r>
          </w:p>
        </w:tc>
        <w:tc>
          <w:tcPr>
            <w:tcW w:w="1791"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14</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80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3430</w:t>
            </w:r>
          </w:p>
        </w:tc>
        <w:tc>
          <w:tcPr>
            <w:tcW w:w="1791"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16</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460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3330</w:t>
            </w:r>
          </w:p>
        </w:tc>
        <w:tc>
          <w:tcPr>
            <w:tcW w:w="1791"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18</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450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3330</w:t>
            </w:r>
          </w:p>
        </w:tc>
        <w:tc>
          <w:tcPr>
            <w:tcW w:w="1791"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20</w:t>
            </w:r>
            <w:r>
              <w:rPr>
                <w:rFonts w:asciiTheme="minorEastAsia" w:hAnsiTheme="minorEastAsia" w:eastAsiaTheme="minorEastAsia"/>
                <w:color w:val="000000" w:themeColor="text1"/>
                <w:sz w:val="24"/>
                <w:szCs w:val="24"/>
                <w14:textFill>
                  <w14:solidFill>
                    <w14:schemeClr w14:val="tx1"/>
                  </w14:solidFill>
                </w14:textFill>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550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3330</w:t>
            </w:r>
          </w:p>
        </w:tc>
        <w:tc>
          <w:tcPr>
            <w:tcW w:w="1791"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热轧带肋钢筋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heme="minorEastAsia" w:hAnsiTheme="minorEastAsia" w:eastAsiaTheme="minorEastAsia"/>
                <w:color w:val="000000" w:themeColor="text1"/>
                <w:sz w:val="24"/>
                <w:szCs w:val="24"/>
                <w14:textFill>
                  <w14:solidFill>
                    <w14:schemeClr w14:val="tx1"/>
                  </w14:solidFill>
                </w14:textFill>
              </w:rPr>
              <w:t>HRB400直径</w:t>
            </w:r>
            <w:r>
              <w:rPr>
                <w:rFonts w:hint="eastAsia" w:asciiTheme="minorEastAsia" w:hAnsiTheme="minorEastAsia" w:eastAsiaTheme="minorEastAsia"/>
                <w:color w:val="000000" w:themeColor="text1"/>
                <w:sz w:val="24"/>
                <w:szCs w:val="24"/>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5mm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ascii="宋体" w:hAnsi="宋体" w:cs="宋体"/>
                <w:color w:val="000000" w:themeColor="text1"/>
                <w:sz w:val="22"/>
                <w:szCs w:val="22"/>
                <w14:textFill>
                  <w14:solidFill>
                    <w14:schemeClr w14:val="tx1"/>
                  </w14:solidFill>
                </w14:textFill>
              </w:rPr>
              <w:t>100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left="0" w:leftChars="0" w:firstLine="0" w:firstLineChars="0"/>
              <w:jc w:val="center"/>
              <w:textAlignment w:val="center"/>
              <w:rPr>
                <w:rFonts w:hint="eastAsia" w:ascii="宋体" w:hAnsi="宋体"/>
                <w:szCs w:val="24"/>
                <w:lang w:bidi="ar"/>
              </w:rPr>
            </w:pPr>
            <w:r>
              <w:rPr>
                <w:rFonts w:hint="eastAsia" w:ascii="宋体" w:hAnsi="宋体"/>
                <w:szCs w:val="24"/>
                <w:lang w:val="en-US" w:eastAsia="zh-CN"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default" w:eastAsia="宋体"/>
                <w:b w:val="0"/>
                <w:bCs w:val="0"/>
                <w:color w:val="auto"/>
                <w:szCs w:val="24"/>
                <w:lang w:val="en-US" w:eastAsia="zh-CN" w:bidi="ar"/>
              </w:rPr>
            </w:pPr>
            <w:r>
              <w:rPr>
                <w:rFonts w:hint="eastAsia" w:ascii="宋体" w:hAnsi="宋体"/>
                <w:b w:val="0"/>
                <w:bCs w:val="0"/>
                <w:color w:val="auto"/>
                <w:szCs w:val="24"/>
                <w:lang w:val="en-US" w:eastAsia="zh-CN"/>
              </w:rPr>
              <w:t>3390</w:t>
            </w:r>
          </w:p>
        </w:tc>
        <w:tc>
          <w:tcPr>
            <w:tcW w:w="1791" w:type="dxa"/>
            <w:vMerge w:val="continue"/>
            <w:tcBorders>
              <w:left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color w:val="000000"/>
                <w:szCs w:val="24"/>
              </w:rPr>
            </w:pPr>
            <w:r>
              <w:rPr>
                <w:rFonts w:hint="eastAsia"/>
                <w:color w:val="000000"/>
                <w:szCs w:val="24"/>
              </w:rPr>
              <w:t>吨</w:t>
            </w:r>
          </w:p>
        </w:tc>
        <w:tc>
          <w:tcPr>
            <w:tcW w:w="8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textAlignment w:val="center"/>
              <w:rPr>
                <w:color w:val="000000"/>
                <w:szCs w:val="24"/>
              </w:rPr>
            </w:pPr>
            <w:r>
              <w:rPr>
                <w:rFonts w:hint="eastAsia"/>
                <w:color w:val="000000"/>
                <w:szCs w:val="24"/>
              </w:rPr>
              <w:t>1700</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r>
              <w:rPr>
                <w:rFonts w:hint="eastAsia" w:ascii="宋体" w:hAnsi="宋体"/>
                <w:szCs w:val="24"/>
              </w:rPr>
              <w:t>/</w:t>
            </w:r>
          </w:p>
        </w:tc>
        <w:tc>
          <w:tcPr>
            <w:tcW w:w="11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r>
              <w:rPr>
                <w:rFonts w:hint="eastAsia" w:ascii="宋体" w:hAnsi="宋体"/>
                <w:szCs w:val="24"/>
              </w:rPr>
              <w:t>/</w:t>
            </w:r>
          </w:p>
        </w:tc>
        <w:tc>
          <w:tcPr>
            <w:tcW w:w="179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260" w:lineRule="exact"/>
              <w:ind w:firstLine="0" w:firstLineChars="0"/>
              <w:jc w:val="center"/>
              <w:rPr>
                <w:rFonts w:hint="eastAsia" w:ascii="宋体" w:hAnsi="宋体"/>
                <w:szCs w:val="24"/>
              </w:rPr>
            </w:pPr>
            <w:r>
              <w:rPr>
                <w:rFonts w:hint="eastAsia" w:ascii="宋体" w:hAnsi="宋体"/>
                <w:szCs w:val="24"/>
              </w:rPr>
              <w:t>/</w:t>
            </w:r>
          </w:p>
        </w:tc>
      </w:tr>
      <w:bookmarkEnd w:id="7"/>
    </w:tbl>
    <w:p>
      <w:pPr>
        <w:pStyle w:val="4"/>
        <w:keepNext w:val="0"/>
        <w:keepLines w:val="0"/>
        <w:pageBreakBefore w:val="0"/>
        <w:kinsoku/>
        <w:wordWrap/>
        <w:overflowPunct/>
        <w:topLinePunct w:val="0"/>
        <w:autoSpaceDE/>
        <w:autoSpaceDN/>
        <w:bidi w:val="0"/>
        <w:adjustRightInd/>
        <w:snapToGrid/>
        <w:spacing w:before="0" w:line="440" w:lineRule="exact"/>
        <w:ind w:firstLine="240" w:firstLineChars="100"/>
        <w:textAlignment w:val="auto"/>
        <w:rPr>
          <w:rFonts w:hint="eastAsia" w:ascii="宋体" w:hAnsi="宋体"/>
          <w:bCs/>
          <w:szCs w:val="21"/>
        </w:rPr>
      </w:pPr>
      <w:r>
        <w:rPr>
          <w:rFonts w:hint="eastAsia" w:ascii="宋体" w:hAnsi="宋体"/>
          <w:bCs/>
          <w:szCs w:val="21"/>
        </w:rPr>
        <w:t>说明：上表中基准价为2025年1月1</w:t>
      </w:r>
      <w:r>
        <w:rPr>
          <w:rFonts w:hint="eastAsia" w:ascii="宋体" w:hAnsi="宋体"/>
          <w:bCs/>
          <w:szCs w:val="21"/>
          <w:lang w:val="en-US" w:eastAsia="zh-CN"/>
        </w:rPr>
        <w:t>7</w:t>
      </w:r>
      <w:r>
        <w:rPr>
          <w:rFonts w:hint="eastAsia" w:ascii="宋体" w:hAnsi="宋体"/>
          <w:bCs/>
          <w:szCs w:val="21"/>
        </w:rPr>
        <w:t>日“我的钢铁网”第一次发布的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各种规格钢筋的上海地区价格（非备注栏价格，下同），报价以上述基准价报统一上下浮价。</w:t>
      </w:r>
    </w:p>
    <w:p>
      <w:pPr>
        <w:pStyle w:val="4"/>
        <w:keepNext w:val="0"/>
        <w:keepLines w:val="0"/>
        <w:pageBreakBefore w:val="0"/>
        <w:kinsoku/>
        <w:wordWrap/>
        <w:overflowPunct/>
        <w:topLinePunct w:val="0"/>
        <w:autoSpaceDE/>
        <w:autoSpaceDN/>
        <w:bidi w:val="0"/>
        <w:adjustRightInd/>
        <w:snapToGrid/>
        <w:spacing w:before="0" w:line="440" w:lineRule="exact"/>
        <w:ind w:firstLine="240" w:firstLineChars="100"/>
        <w:textAlignment w:val="auto"/>
      </w:pPr>
      <w:r>
        <w:rPr>
          <w:rFonts w:hint="eastAsia" w:ascii="宋体" w:hAnsi="宋体"/>
          <w:bCs/>
          <w:szCs w:val="21"/>
        </w:rPr>
        <w:t>一、各直径规格钢筋最终结算单价（元/吨）=订货通知单当天“我的钢铁网”第一次发布的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各种规格钢材的上海地区价格±上下浮价。</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bCs/>
          <w:szCs w:val="21"/>
        </w:rPr>
      </w:pPr>
      <w:r>
        <w:rPr>
          <w:bCs/>
          <w:szCs w:val="21"/>
        </w:rPr>
        <w:t>“订货通知单”须注明</w:t>
      </w:r>
      <w:r>
        <w:rPr>
          <w:rFonts w:hint="eastAsia"/>
          <w:bCs/>
          <w:szCs w:val="21"/>
        </w:rPr>
        <w:t>基准价品牌</w:t>
      </w:r>
      <w:r>
        <w:rPr>
          <w:bCs/>
          <w:szCs w:val="21"/>
        </w:rPr>
        <w:t>各规格钢材当天的网牌价，实际结算单价与实际所供品牌</w:t>
      </w:r>
      <w:r>
        <w:rPr>
          <w:rFonts w:hint="eastAsia"/>
          <w:bCs/>
          <w:szCs w:val="21"/>
        </w:rPr>
        <w:t>（基准价品牌除外）</w:t>
      </w:r>
      <w:r>
        <w:rPr>
          <w:bCs/>
          <w:szCs w:val="21"/>
        </w:rPr>
        <w:t>的网牌价无关。</w:t>
      </w:r>
    </w:p>
    <w:p>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宋体" w:hAnsi="宋体" w:cs="宋体"/>
          <w:color w:val="000000"/>
        </w:rPr>
      </w:pPr>
      <w:r>
        <w:rPr>
          <w:rFonts w:hint="eastAsia" w:ascii="宋体" w:hAnsi="宋体"/>
          <w:color w:val="000000"/>
          <w:szCs w:val="21"/>
        </w:rPr>
        <w:t>二、以上报价为我方送货到</w:t>
      </w:r>
      <w:r>
        <w:rPr>
          <w:rFonts w:hint="eastAsia"/>
          <w:b/>
          <w:szCs w:val="24"/>
          <w:u w:val="single"/>
        </w:rPr>
        <w:t>入海水道二期工程盐城市境内2024年度工程穿堤建筑物</w:t>
      </w:r>
      <w:r>
        <w:rPr>
          <w:rFonts w:hint="eastAsia" w:ascii="宋体" w:hAnsi="宋体"/>
          <w:color w:val="000000"/>
          <w:szCs w:val="24"/>
        </w:rPr>
        <w:t>工地价格，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Arial"/>
          <w:szCs w:val="21"/>
        </w:rPr>
        <w:t>,</w:t>
      </w:r>
      <w:r>
        <w:rPr>
          <w:rFonts w:hint="eastAsia" w:ascii="宋体" w:hAnsi="宋体" w:cs="宋体"/>
          <w:color w:val="000000"/>
        </w:rPr>
        <w:t>并提供税率为13%的增值税专用发票。</w:t>
      </w:r>
    </w:p>
    <w:p>
      <w:pPr>
        <w:pStyle w:val="4"/>
        <w:keepNext w:val="0"/>
        <w:keepLines w:val="0"/>
        <w:pageBreakBefore w:val="0"/>
        <w:kinsoku/>
        <w:wordWrap/>
        <w:overflowPunct/>
        <w:topLinePunct w:val="0"/>
        <w:autoSpaceDE/>
        <w:autoSpaceDN/>
        <w:bidi w:val="0"/>
        <w:adjustRightInd/>
        <w:snapToGrid/>
        <w:spacing w:before="0" w:line="440" w:lineRule="exact"/>
        <w:ind w:firstLine="480"/>
        <w:textAlignment w:val="auto"/>
        <w:rPr>
          <w:rFonts w:hint="eastAsia" w:ascii="宋体" w:hAnsi="宋体"/>
          <w:color w:val="000000"/>
          <w:szCs w:val="21"/>
        </w:rPr>
      </w:pPr>
      <w:r>
        <w:rPr>
          <w:rFonts w:hint="eastAsia" w:ascii="宋体" w:hAnsi="宋体"/>
          <w:color w:val="000000"/>
          <w:szCs w:val="21"/>
        </w:rPr>
        <w:t>三、钢筋质量要求：满足GB1499.1-2024、GB1499.2-2024。</w:t>
      </w:r>
    </w:p>
    <w:p>
      <w:pPr>
        <w:pStyle w:val="4"/>
        <w:keepNext w:val="0"/>
        <w:keepLines w:val="0"/>
        <w:pageBreakBefore w:val="0"/>
        <w:kinsoku/>
        <w:wordWrap/>
        <w:overflowPunct/>
        <w:topLinePunct w:val="0"/>
        <w:autoSpaceDE/>
        <w:autoSpaceDN/>
        <w:bidi w:val="0"/>
        <w:adjustRightInd/>
        <w:snapToGrid/>
        <w:spacing w:before="0" w:line="440" w:lineRule="exact"/>
        <w:ind w:firstLine="480"/>
        <w:textAlignment w:val="auto"/>
        <w:rPr>
          <w:spacing w:val="-11"/>
        </w:rPr>
      </w:pPr>
      <w:r>
        <w:rPr>
          <w:rFonts w:hint="eastAsia" w:ascii="宋体" w:hAnsi="宋体"/>
          <w:szCs w:val="21"/>
        </w:rPr>
        <w:t>四</w:t>
      </w:r>
      <w:r>
        <w:rPr>
          <w:rFonts w:hint="eastAsia"/>
        </w:rPr>
        <w:t>、</w:t>
      </w:r>
      <w:r>
        <w:rPr>
          <w:rFonts w:hint="eastAsia"/>
          <w:szCs w:val="21"/>
        </w:rPr>
        <w:t>钢材的尺寸要求</w:t>
      </w:r>
      <w:r>
        <w:rPr>
          <w:rFonts w:ascii="Times New Roman" w:hAnsi="Times New Roman" w:cs="Times New Roman"/>
          <w:szCs w:val="21"/>
        </w:rPr>
        <w:t>：</w:t>
      </w:r>
      <w:r>
        <w:rPr>
          <w:rFonts w:hint="eastAsia"/>
          <w:szCs w:val="21"/>
        </w:rPr>
        <w:t>钢筋长度为12m或9m</w:t>
      </w:r>
      <w:r>
        <w:rPr>
          <w:rFonts w:hint="eastAsia" w:ascii="宋体" w:hAnsi="宋体"/>
          <w:szCs w:val="21"/>
        </w:rPr>
        <w:t>，且均不加价。</w:t>
      </w:r>
    </w:p>
    <w:p>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szCs w:val="21"/>
        </w:rPr>
      </w:pPr>
      <w:r>
        <w:rPr>
          <w:rFonts w:hint="eastAsia" w:ascii="宋体" w:hAnsi="宋体"/>
          <w:szCs w:val="21"/>
        </w:rPr>
        <w:t>五、我方接受贵公司确定的付款条件和付款方式。</w:t>
      </w:r>
    </w:p>
    <w:p>
      <w:pPr>
        <w:pStyle w:val="4"/>
        <w:keepNext w:val="0"/>
        <w:keepLines w:val="0"/>
        <w:pageBreakBefore w:val="0"/>
        <w:kinsoku/>
        <w:wordWrap/>
        <w:overflowPunct/>
        <w:topLinePunct w:val="0"/>
        <w:autoSpaceDE/>
        <w:autoSpaceDN/>
        <w:bidi w:val="0"/>
        <w:adjustRightInd/>
        <w:snapToGrid/>
        <w:spacing w:before="0" w:line="440" w:lineRule="exact"/>
        <w:ind w:firstLine="480"/>
        <w:textAlignment w:val="auto"/>
      </w:pPr>
    </w:p>
    <w:p>
      <w:pPr>
        <w:keepNext w:val="0"/>
        <w:keepLines w:val="0"/>
        <w:pageBreakBefore w:val="0"/>
        <w:kinsoku/>
        <w:wordWrap/>
        <w:overflowPunct/>
        <w:topLinePunct w:val="0"/>
        <w:autoSpaceDE/>
        <w:autoSpaceDN/>
        <w:bidi w:val="0"/>
        <w:adjustRightInd/>
        <w:snapToGrid/>
        <w:spacing w:line="440" w:lineRule="exact"/>
        <w:ind w:firstLine="480"/>
        <w:textAlignment w:val="auto"/>
      </w:pPr>
    </w:p>
    <w:p>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pPr>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color w:val="000000"/>
          <w:kern w:val="2"/>
          <w:szCs w:val="24"/>
        </w:rPr>
      </w:pPr>
      <w:r>
        <w:rPr>
          <w:rFonts w:hint="eastAsia" w:ascii="宋体" w:hAnsi="宋体"/>
          <w:color w:val="000000"/>
          <w:kern w:val="2"/>
          <w:szCs w:val="24"/>
        </w:rPr>
        <w:t xml:space="preserve">法人或授权委托人身份证号:             法人或授权委托人电话：   </w:t>
      </w:r>
    </w:p>
    <w:p>
      <w:pPr>
        <w:keepNext w:val="0"/>
        <w:keepLines w:val="0"/>
        <w:pageBreakBefore w:val="0"/>
        <w:shd w:val="clear" w:color="auto" w:fill="FFFFFF"/>
        <w:kinsoku/>
        <w:wordWrap/>
        <w:overflowPunct/>
        <w:topLinePunct w:val="0"/>
        <w:autoSpaceDE/>
        <w:autoSpaceDN/>
        <w:bidi w:val="0"/>
        <w:adjustRightInd/>
        <w:snapToGrid/>
        <w:spacing w:line="440" w:lineRule="exact"/>
        <w:ind w:firstLine="1185" w:firstLineChars="494"/>
        <w:textAlignment w:val="auto"/>
        <w:rPr>
          <w:color w:val="000000"/>
          <w:szCs w:val="21"/>
        </w:rPr>
      </w:pPr>
      <w:r>
        <w:rPr>
          <w:rFonts w:hint="eastAsia" w:ascii="宋体" w:hAnsi="宋体"/>
          <w:color w:val="000000"/>
          <w:kern w:val="2"/>
          <w:szCs w:val="24"/>
        </w:rPr>
        <w:t xml:space="preserve">                                         年    月    日</w:t>
      </w:r>
      <w:r>
        <w:rPr>
          <w:color w:val="000000"/>
          <w:szCs w:val="21"/>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szCs w:val="24"/>
          <w:u w:val="single"/>
        </w:rPr>
        <w:t>入海水道二期工程盐城市境内2024年度工程穿堤建筑物</w:t>
      </w:r>
      <w:r>
        <w:rPr>
          <w:rFonts w:hint="eastAsia"/>
          <w:szCs w:val="24"/>
        </w:rPr>
        <w:t>钢筋采购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 xml:space="preserve">委托期限： </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  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361"/>
        <w:rPr>
          <w:b/>
          <w:sz w:val="18"/>
          <w:szCs w:val="18"/>
        </w:rPr>
      </w:pPr>
      <w:r>
        <w:rPr>
          <w:b/>
          <w:sz w:val="18"/>
          <w:szCs w:val="18"/>
        </w:rPr>
        <w:t>附件6、投标单位资信证明资料</w:t>
      </w:r>
    </w:p>
    <w:p>
      <w:pPr>
        <w:spacing w:line="240" w:lineRule="auto"/>
        <w:ind w:firstLine="361"/>
        <w:rPr>
          <w:b/>
          <w:sz w:val="18"/>
          <w:szCs w:val="18"/>
        </w:rPr>
      </w:pPr>
    </w:p>
    <w:p>
      <w:pPr>
        <w:pStyle w:val="4"/>
        <w:ind w:firstLine="480"/>
      </w:pPr>
    </w:p>
    <w:p>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pPr>
        <w:pStyle w:val="4"/>
        <w:ind w:firstLine="361"/>
        <w:rPr>
          <w:rFonts w:ascii="Times New Roman" w:hAnsi="Times New Roman" w:cs="Times New Roman"/>
          <w:b/>
          <w:sz w:val="18"/>
          <w:szCs w:val="18"/>
          <w:lang w:eastAsia="zh-Hans"/>
        </w:rPr>
      </w:pPr>
    </w:p>
    <w:p>
      <w:pPr>
        <w:ind w:firstLine="480"/>
      </w:pPr>
    </w:p>
    <w:p>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pPr>
        <w:pStyle w:val="4"/>
        <w:spacing w:line="240" w:lineRule="auto"/>
        <w:ind w:firstLine="0" w:firstLineChars="0"/>
      </w:pPr>
    </w:p>
    <w:p>
      <w:pPr>
        <w:ind w:firstLine="480"/>
      </w:pPr>
    </w:p>
    <w:sectPr>
      <w:headerReference r:id="rId13" w:type="first"/>
      <w:footerReference r:id="rId16" w:type="first"/>
      <w:headerReference r:id="rId11" w:type="default"/>
      <w:footerReference r:id="rId14" w:type="default"/>
      <w:headerReference r:id="rId12" w:type="even"/>
      <w:footerReference r:id="rId15"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82E67"/>
    <w:rsid w:val="00186ED4"/>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D620E"/>
    <w:rsid w:val="002E6A35"/>
    <w:rsid w:val="002F1C12"/>
    <w:rsid w:val="002F5D64"/>
    <w:rsid w:val="003008E1"/>
    <w:rsid w:val="00304AF2"/>
    <w:rsid w:val="00305460"/>
    <w:rsid w:val="003134ED"/>
    <w:rsid w:val="00326FAA"/>
    <w:rsid w:val="00336065"/>
    <w:rsid w:val="00360A05"/>
    <w:rsid w:val="00362373"/>
    <w:rsid w:val="00365466"/>
    <w:rsid w:val="00367FEC"/>
    <w:rsid w:val="00374279"/>
    <w:rsid w:val="003762F2"/>
    <w:rsid w:val="00377F62"/>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4791F"/>
    <w:rsid w:val="004515CE"/>
    <w:rsid w:val="004515F5"/>
    <w:rsid w:val="00457482"/>
    <w:rsid w:val="00461C89"/>
    <w:rsid w:val="0046394B"/>
    <w:rsid w:val="00466745"/>
    <w:rsid w:val="004729F3"/>
    <w:rsid w:val="00474C0B"/>
    <w:rsid w:val="00475C15"/>
    <w:rsid w:val="004760DE"/>
    <w:rsid w:val="004A0AB8"/>
    <w:rsid w:val="004A2768"/>
    <w:rsid w:val="004A2783"/>
    <w:rsid w:val="004A564A"/>
    <w:rsid w:val="004B23CA"/>
    <w:rsid w:val="004B3B51"/>
    <w:rsid w:val="004B44B3"/>
    <w:rsid w:val="004C6414"/>
    <w:rsid w:val="004E3FA1"/>
    <w:rsid w:val="004F3F17"/>
    <w:rsid w:val="004F4B2A"/>
    <w:rsid w:val="00501BF9"/>
    <w:rsid w:val="00511AFF"/>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687D"/>
    <w:rsid w:val="006300BC"/>
    <w:rsid w:val="00632C50"/>
    <w:rsid w:val="00643151"/>
    <w:rsid w:val="00650E75"/>
    <w:rsid w:val="00660372"/>
    <w:rsid w:val="00685410"/>
    <w:rsid w:val="006871A5"/>
    <w:rsid w:val="00697227"/>
    <w:rsid w:val="006A1DA3"/>
    <w:rsid w:val="006B6818"/>
    <w:rsid w:val="006D0EE1"/>
    <w:rsid w:val="006D1DBF"/>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86DA8"/>
    <w:rsid w:val="008A2036"/>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4DFD"/>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4A66"/>
    <w:rsid w:val="00A47C03"/>
    <w:rsid w:val="00A51F39"/>
    <w:rsid w:val="00A568B5"/>
    <w:rsid w:val="00A720A8"/>
    <w:rsid w:val="00A9357B"/>
    <w:rsid w:val="00A94BAE"/>
    <w:rsid w:val="00A95B4B"/>
    <w:rsid w:val="00AB095C"/>
    <w:rsid w:val="00AB1F8C"/>
    <w:rsid w:val="00AB7DDF"/>
    <w:rsid w:val="00AC61DB"/>
    <w:rsid w:val="00AC6DF8"/>
    <w:rsid w:val="00AD18BC"/>
    <w:rsid w:val="00AD2D86"/>
    <w:rsid w:val="00AD76E9"/>
    <w:rsid w:val="00AE3758"/>
    <w:rsid w:val="00AE64E7"/>
    <w:rsid w:val="00B04663"/>
    <w:rsid w:val="00B05B95"/>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255E"/>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0519"/>
    <w:rsid w:val="00FC133A"/>
    <w:rsid w:val="00FC4606"/>
    <w:rsid w:val="00FC57C9"/>
    <w:rsid w:val="00FC6FC5"/>
    <w:rsid w:val="00FD3329"/>
    <w:rsid w:val="00FD355A"/>
    <w:rsid w:val="01103C2D"/>
    <w:rsid w:val="01875DDB"/>
    <w:rsid w:val="01CF32DE"/>
    <w:rsid w:val="0224187C"/>
    <w:rsid w:val="02BA3EBA"/>
    <w:rsid w:val="02D432A2"/>
    <w:rsid w:val="0313544C"/>
    <w:rsid w:val="03CE5F43"/>
    <w:rsid w:val="070E48A8"/>
    <w:rsid w:val="07797F74"/>
    <w:rsid w:val="08713D59"/>
    <w:rsid w:val="09645213"/>
    <w:rsid w:val="0A5371A2"/>
    <w:rsid w:val="0B2E1CE7"/>
    <w:rsid w:val="0D2D5DB3"/>
    <w:rsid w:val="0D7D0092"/>
    <w:rsid w:val="0DDB505D"/>
    <w:rsid w:val="0DE261E0"/>
    <w:rsid w:val="0E19692E"/>
    <w:rsid w:val="10F224B2"/>
    <w:rsid w:val="11895257"/>
    <w:rsid w:val="12095389"/>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CA3249"/>
    <w:rsid w:val="1C0C0F5F"/>
    <w:rsid w:val="1D222172"/>
    <w:rsid w:val="1DBF22E0"/>
    <w:rsid w:val="1E3E386E"/>
    <w:rsid w:val="1F49353B"/>
    <w:rsid w:val="1FE87F57"/>
    <w:rsid w:val="201A7A06"/>
    <w:rsid w:val="202F4D0C"/>
    <w:rsid w:val="20DB5060"/>
    <w:rsid w:val="20E05DE6"/>
    <w:rsid w:val="20E62665"/>
    <w:rsid w:val="22131C0A"/>
    <w:rsid w:val="226C6050"/>
    <w:rsid w:val="236616DD"/>
    <w:rsid w:val="236F25AE"/>
    <w:rsid w:val="23761172"/>
    <w:rsid w:val="25D40CCF"/>
    <w:rsid w:val="262B0367"/>
    <w:rsid w:val="26656337"/>
    <w:rsid w:val="26BB3CDC"/>
    <w:rsid w:val="27064718"/>
    <w:rsid w:val="2A2B298A"/>
    <w:rsid w:val="2A2B739C"/>
    <w:rsid w:val="2A5A37DD"/>
    <w:rsid w:val="2C0B2FE1"/>
    <w:rsid w:val="2C2E4F21"/>
    <w:rsid w:val="2C4F5DEB"/>
    <w:rsid w:val="2D2A7261"/>
    <w:rsid w:val="2F6D39E7"/>
    <w:rsid w:val="33833CFC"/>
    <w:rsid w:val="33AF4BFE"/>
    <w:rsid w:val="3419255C"/>
    <w:rsid w:val="35B131BA"/>
    <w:rsid w:val="35F72306"/>
    <w:rsid w:val="360748F4"/>
    <w:rsid w:val="3621287E"/>
    <w:rsid w:val="368D0655"/>
    <w:rsid w:val="37314C08"/>
    <w:rsid w:val="37547C65"/>
    <w:rsid w:val="37B2711A"/>
    <w:rsid w:val="38604219"/>
    <w:rsid w:val="38790E82"/>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715E9"/>
    <w:rsid w:val="45C67B21"/>
    <w:rsid w:val="46002A50"/>
    <w:rsid w:val="4881538B"/>
    <w:rsid w:val="48C1709A"/>
    <w:rsid w:val="492141B8"/>
    <w:rsid w:val="498F4DFA"/>
    <w:rsid w:val="4A5D2A12"/>
    <w:rsid w:val="4BD50C63"/>
    <w:rsid w:val="4BEF6C2B"/>
    <w:rsid w:val="4BF70A34"/>
    <w:rsid w:val="4C0373D9"/>
    <w:rsid w:val="4C60645B"/>
    <w:rsid w:val="4C8A2925"/>
    <w:rsid w:val="4D5E5119"/>
    <w:rsid w:val="4D9C7AE5"/>
    <w:rsid w:val="4DCC3EF8"/>
    <w:rsid w:val="4E61488B"/>
    <w:rsid w:val="4EAC6E91"/>
    <w:rsid w:val="4ECC43FA"/>
    <w:rsid w:val="4FFA6D45"/>
    <w:rsid w:val="501F1E1E"/>
    <w:rsid w:val="504A453C"/>
    <w:rsid w:val="50A9595A"/>
    <w:rsid w:val="50BC3DB9"/>
    <w:rsid w:val="52006AC6"/>
    <w:rsid w:val="56BD7756"/>
    <w:rsid w:val="57106E4E"/>
    <w:rsid w:val="57525385"/>
    <w:rsid w:val="57597410"/>
    <w:rsid w:val="57A67218"/>
    <w:rsid w:val="58E81E30"/>
    <w:rsid w:val="594B257F"/>
    <w:rsid w:val="5A074538"/>
    <w:rsid w:val="5A3F7E68"/>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9F1C85"/>
    <w:rsid w:val="63E84028"/>
    <w:rsid w:val="6531515B"/>
    <w:rsid w:val="65827D85"/>
    <w:rsid w:val="65CD0811"/>
    <w:rsid w:val="66061B48"/>
    <w:rsid w:val="66764D92"/>
    <w:rsid w:val="66E32901"/>
    <w:rsid w:val="67CF5C06"/>
    <w:rsid w:val="684B5A5C"/>
    <w:rsid w:val="68530B72"/>
    <w:rsid w:val="68CE3D26"/>
    <w:rsid w:val="6A902328"/>
    <w:rsid w:val="6B5C220A"/>
    <w:rsid w:val="6BC049D4"/>
    <w:rsid w:val="6BE40434"/>
    <w:rsid w:val="6BEC782A"/>
    <w:rsid w:val="6C5C0714"/>
    <w:rsid w:val="6CA34594"/>
    <w:rsid w:val="6CDF60CB"/>
    <w:rsid w:val="6EA2205E"/>
    <w:rsid w:val="6EC64CCC"/>
    <w:rsid w:val="6F062BB9"/>
    <w:rsid w:val="6F295489"/>
    <w:rsid w:val="6F3E24A5"/>
    <w:rsid w:val="6F7C6456"/>
    <w:rsid w:val="6FE85F4A"/>
    <w:rsid w:val="731A6C33"/>
    <w:rsid w:val="735F23CB"/>
    <w:rsid w:val="75656627"/>
    <w:rsid w:val="75A31161"/>
    <w:rsid w:val="75B82733"/>
    <w:rsid w:val="75C9085C"/>
    <w:rsid w:val="77094221"/>
    <w:rsid w:val="771602DC"/>
    <w:rsid w:val="77664B3C"/>
    <w:rsid w:val="7A96441F"/>
    <w:rsid w:val="7B072253"/>
    <w:rsid w:val="7B771A51"/>
    <w:rsid w:val="7C036DFE"/>
    <w:rsid w:val="7C82084A"/>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link w:val="2"/>
    <w:qFormat/>
    <w:uiPriority w:val="0"/>
    <w:rPr>
      <w:b/>
      <w:bCs/>
      <w:kern w:val="44"/>
      <w:sz w:val="44"/>
      <w:szCs w:val="44"/>
    </w:rPr>
  </w:style>
  <w:style w:type="character" w:customStyle="1" w:styleId="14">
    <w:name w:val="标题 2 字符"/>
    <w:link w:val="3"/>
    <w:qFormat/>
    <w:uiPriority w:val="0"/>
    <w:rPr>
      <w:rFonts w:ascii="Arial" w:hAnsi="Arial" w:eastAsia="黑体"/>
      <w:b/>
      <w:bCs/>
      <w:kern w:val="2"/>
      <w:sz w:val="32"/>
      <w:szCs w:val="32"/>
    </w:rPr>
  </w:style>
  <w:style w:type="character" w:customStyle="1" w:styleId="15">
    <w:name w:val="纯文本 字符"/>
    <w:link w:val="6"/>
    <w:qFormat/>
    <w:uiPriority w:val="99"/>
    <w:rPr>
      <w:rFonts w:ascii="宋体" w:hAnsi="Courier New" w:cs="Courier New"/>
      <w:kern w:val="2"/>
      <w:sz w:val="21"/>
      <w:szCs w:val="21"/>
    </w:rPr>
  </w:style>
  <w:style w:type="character" w:customStyle="1" w:styleId="16">
    <w:name w:val="日期 字符"/>
    <w:link w:val="7"/>
    <w:semiHidden/>
    <w:qFormat/>
    <w:uiPriority w:val="99"/>
    <w:rPr>
      <w:sz w:val="24"/>
    </w:rPr>
  </w:style>
  <w:style w:type="character" w:customStyle="1" w:styleId="17">
    <w:name w:val="批注框文本 字符"/>
    <w:link w:val="8"/>
    <w:semiHidden/>
    <w:qFormat/>
    <w:uiPriority w:val="99"/>
    <w:rPr>
      <w:sz w:val="18"/>
      <w:szCs w:val="18"/>
    </w:rPr>
  </w:style>
  <w:style w:type="character" w:customStyle="1" w:styleId="18">
    <w:name w:val="页脚 字符"/>
    <w:link w:val="9"/>
    <w:semiHidden/>
    <w:qFormat/>
    <w:uiPriority w:val="99"/>
    <w:rPr>
      <w:rFonts w:ascii="Calibri" w:hAnsi="Calibri" w:eastAsia="宋体" w:cs="Times New Roman"/>
      <w:kern w:val="0"/>
      <w:sz w:val="18"/>
      <w:szCs w:val="18"/>
    </w:rPr>
  </w:style>
  <w:style w:type="character" w:customStyle="1" w:styleId="19">
    <w:name w:val="页眉 字符"/>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16</Pages>
  <Words>7948</Words>
  <Characters>8606</Characters>
  <Lines>68</Lines>
  <Paragraphs>19</Paragraphs>
  <TotalTime>12</TotalTime>
  <ScaleCrop>false</ScaleCrop>
  <LinksUpToDate>false</LinksUpToDate>
  <CharactersWithSpaces>9086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2025-01-16T03:28:00Z</dcterms:created>
  <dc:creator>a</dc:creator>
  <cp:lastModifiedBy>Lenovo</cp:lastModifiedBy>
  <cp:lastPrinted>2023-04-14T07:27:00Z</cp:lastPrinted>
  <dcterms:modified xsi:type="dcterms:W3CDTF">2025-01-17T12:39:19Z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B414705E266541118CFBEF1E2FBCC826_13</vt:lpwstr>
  </property>
  <property fmtid="{D5CDD505-2E9C-101B-9397-08002B2CF9AE}" pid="4" name="KSOTemplateDocerSaveRecord">
    <vt:lpwstr>eyJoZGlkIjoiNjc3ZDU4NDg0ZmE2MTAzZTY0MGM2NjhjYjJmNTRkNjEiLCJ1c2VySWQiOiI3MjEwOTQ1MTcifQ==</vt:lpwstr>
  </property>
</Properties>
</file>