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59A99">
      <w:pPr>
        <w:snapToGrid w:val="0"/>
        <w:ind w:firstLine="723"/>
        <w:rPr>
          <w:rFonts w:ascii="Times New Roman" w:hAnsi="Times New Roman" w:eastAsiaTheme="minorEastAsia"/>
          <w:b/>
          <w:color w:val="auto"/>
          <w:sz w:val="18"/>
          <w:szCs w:val="18"/>
          <w:highlight w:val="none"/>
        </w:rPr>
      </w:pPr>
    </w:p>
    <w:p w14:paraId="69521919">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7B555DA9">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14:paraId="382DBE49">
      <w:pPr>
        <w:pStyle w:val="2"/>
        <w:rPr>
          <w:rFonts w:ascii="Times New Roman" w:hAnsi="Times New Roman" w:eastAsiaTheme="minorEastAsia"/>
          <w:b/>
          <w:color w:val="auto"/>
          <w:sz w:val="48"/>
          <w:szCs w:val="48"/>
          <w:highlight w:val="none"/>
        </w:rPr>
      </w:pPr>
    </w:p>
    <w:p w14:paraId="4F7DAC20">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混凝土拌和用黄砂采购</w:t>
      </w:r>
      <w:r>
        <w:rPr>
          <w:rFonts w:ascii="Times New Roman" w:hAnsi="Times New Roman" w:cs="Times New Roman"/>
          <w:b/>
          <w:color w:val="auto"/>
          <w:sz w:val="48"/>
          <w:szCs w:val="48"/>
          <w:highlight w:val="none"/>
        </w:rPr>
        <w:t>招标文件</w:t>
      </w:r>
    </w:p>
    <w:p w14:paraId="1CC2E7BB">
      <w:pPr>
        <w:ind w:firstLine="480"/>
        <w:rPr>
          <w:rFonts w:ascii="Times New Roman" w:hAnsi="Times New Roman" w:eastAsiaTheme="minorEastAsia"/>
          <w:color w:val="auto"/>
          <w:sz w:val="18"/>
          <w:szCs w:val="18"/>
          <w:highlight w:val="none"/>
        </w:rPr>
      </w:pPr>
    </w:p>
    <w:p w14:paraId="2317465C">
      <w:pPr>
        <w:snapToGrid w:val="0"/>
        <w:ind w:firstLine="723"/>
        <w:rPr>
          <w:rFonts w:ascii="Times New Roman" w:hAnsi="Times New Roman" w:eastAsiaTheme="minorEastAsia"/>
          <w:b/>
          <w:color w:val="auto"/>
          <w:sz w:val="18"/>
          <w:szCs w:val="18"/>
          <w:highlight w:val="none"/>
        </w:rPr>
      </w:pPr>
    </w:p>
    <w:p w14:paraId="35B8D173">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57421A92">
      <w:pPr>
        <w:pStyle w:val="2"/>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361D0C00">
      <w:pPr>
        <w:pStyle w:val="7"/>
        <w:spacing w:line="360" w:lineRule="auto"/>
        <w:rPr>
          <w:rFonts w:hint="eastAsia" w:ascii="宋体" w:hAnsi="宋体" w:cs="宋体"/>
          <w:color w:val="000000" w:themeColor="text1"/>
          <w14:textFill>
            <w14:solidFill>
              <w14:schemeClr w14:val="tx1"/>
            </w14:solidFill>
          </w14:textFill>
        </w:rPr>
      </w:pPr>
    </w:p>
    <w:p w14:paraId="13621DB7">
      <w:pPr>
        <w:pStyle w:val="7"/>
        <w:spacing w:line="360" w:lineRule="auto"/>
        <w:rPr>
          <w:rFonts w:hint="eastAsia" w:ascii="宋体" w:hAnsi="宋体" w:cs="宋体"/>
          <w:color w:val="000000" w:themeColor="text1"/>
          <w14:textFill>
            <w14:solidFill>
              <w14:schemeClr w14:val="tx1"/>
            </w14:solidFill>
          </w14:textFill>
        </w:rPr>
      </w:pPr>
    </w:p>
    <w:p w14:paraId="361ABFE3">
      <w:pPr>
        <w:pStyle w:val="7"/>
        <w:spacing w:line="360" w:lineRule="auto"/>
        <w:rPr>
          <w:rFonts w:hint="eastAsia" w:ascii="宋体" w:hAnsi="宋体" w:cs="宋体"/>
          <w:color w:val="000000" w:themeColor="text1"/>
          <w14:textFill>
            <w14:solidFill>
              <w14:schemeClr w14:val="tx1"/>
            </w14:solidFill>
          </w14:textFill>
        </w:rPr>
      </w:pPr>
    </w:p>
    <w:p w14:paraId="75B35380">
      <w:pPr>
        <w:pStyle w:val="7"/>
        <w:spacing w:line="360" w:lineRule="auto"/>
        <w:rPr>
          <w:rFonts w:hint="eastAsia" w:ascii="宋体" w:hAnsi="宋体" w:cs="宋体"/>
          <w:color w:val="000000" w:themeColor="text1"/>
          <w14:textFill>
            <w14:solidFill>
              <w14:schemeClr w14:val="tx1"/>
            </w14:solidFill>
          </w14:textFill>
        </w:rPr>
      </w:pPr>
    </w:p>
    <w:p w14:paraId="3B40291A">
      <w:pPr>
        <w:pStyle w:val="7"/>
        <w:spacing w:line="360" w:lineRule="auto"/>
        <w:rPr>
          <w:rFonts w:hint="eastAsia" w:ascii="宋体" w:hAnsi="宋体" w:cs="宋体"/>
          <w:color w:val="000000" w:themeColor="text1"/>
          <w14:textFill>
            <w14:solidFill>
              <w14:schemeClr w14:val="tx1"/>
            </w14:solidFill>
          </w14:textFill>
        </w:rPr>
      </w:pPr>
    </w:p>
    <w:p w14:paraId="2775A8C8">
      <w:pPr>
        <w:pStyle w:val="7"/>
        <w:spacing w:line="360" w:lineRule="auto"/>
        <w:rPr>
          <w:rFonts w:hint="eastAsia" w:ascii="宋体" w:hAnsi="宋体" w:cs="宋体"/>
          <w:color w:val="000000" w:themeColor="text1"/>
          <w14:textFill>
            <w14:solidFill>
              <w14:schemeClr w14:val="tx1"/>
            </w14:solidFill>
          </w14:textFill>
        </w:rPr>
      </w:pPr>
    </w:p>
    <w:p w14:paraId="67D8CE6E">
      <w:pPr>
        <w:pStyle w:val="7"/>
        <w:spacing w:line="360" w:lineRule="auto"/>
        <w:rPr>
          <w:rFonts w:hint="eastAsia" w:ascii="宋体" w:hAnsi="宋体" w:cs="宋体"/>
          <w:color w:val="000000" w:themeColor="text1"/>
          <w14:textFill>
            <w14:solidFill>
              <w14:schemeClr w14:val="tx1"/>
            </w14:solidFill>
          </w14:textFill>
        </w:rPr>
      </w:pPr>
    </w:p>
    <w:p w14:paraId="037440A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招标项目：淮河入海水道二期盐城市境内淮阜枢纽交通桥工程施工</w:t>
      </w:r>
    </w:p>
    <w:p w14:paraId="1DE0453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30A6DF52">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14:paraId="34AE97E8">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eastAsia="zh-CN"/>
        </w:rPr>
        <w:t>盐城市境内淮阜枢纽交通桥工程施工</w:t>
      </w:r>
      <w:r>
        <w:rPr>
          <w:rFonts w:hint="eastAsia" w:ascii="宋体" w:hAnsi="宋体" w:cs="方正仿宋_GB18030"/>
          <w:b/>
          <w:bCs/>
          <w:color w:val="000000"/>
          <w:sz w:val="28"/>
          <w:szCs w:val="36"/>
        </w:rPr>
        <w:t>项目经理部</w:t>
      </w:r>
    </w:p>
    <w:p w14:paraId="748056F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16</w:t>
      </w:r>
      <w:r>
        <w:rPr>
          <w:rFonts w:hint="eastAsia" w:ascii="宋体" w:hAnsi="宋体" w:cs="方正仿宋_GB18030"/>
          <w:b/>
          <w:bCs/>
          <w:color w:val="000000"/>
          <w:sz w:val="28"/>
          <w:szCs w:val="36"/>
          <w:u w:val="single"/>
        </w:rPr>
        <w:t>日</w:t>
      </w:r>
    </w:p>
    <w:p w14:paraId="7A956CA3">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04B9004F">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69D49F5F">
      <w:pPr>
        <w:adjustRightInd w:val="0"/>
        <w:snapToGrid w:val="0"/>
        <w:spacing w:line="288" w:lineRule="auto"/>
        <w:ind w:firstLine="482"/>
        <w:rPr>
          <w:rFonts w:ascii="Times New Roman" w:hAnsi="Times New Roman"/>
          <w:color w:val="auto"/>
          <w:szCs w:val="21"/>
          <w:highlight w:val="none"/>
        </w:rPr>
      </w:pPr>
    </w:p>
    <w:p w14:paraId="604A7C9F">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rPr>
        <w:t>月份中标承建了</w:t>
      </w:r>
      <w:r>
        <w:rPr>
          <w:rFonts w:hint="eastAsia" w:ascii="Times New Roman" w:hAnsi="Times New Roman"/>
          <w:b/>
          <w:bCs/>
          <w:color w:val="auto"/>
          <w:sz w:val="24"/>
          <w:szCs w:val="24"/>
          <w:highlight w:val="none"/>
          <w:u w:val="single"/>
        </w:rPr>
        <w:t>淮河入海水道二期</w:t>
      </w:r>
      <w:r>
        <w:rPr>
          <w:rFonts w:hint="eastAsia" w:ascii="Times New Roman" w:hAnsi="Times New Roman"/>
          <w:b/>
          <w:bCs/>
          <w:color w:val="auto"/>
          <w:sz w:val="24"/>
          <w:szCs w:val="24"/>
          <w:highlight w:val="none"/>
          <w:u w:val="single"/>
          <w:lang w:eastAsia="zh-CN"/>
        </w:rPr>
        <w:t>盐城市境内淮阜枢纽交通桥工程施工</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混凝土拌和用黄砂</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374458968"/>
      <w:bookmarkStart w:id="1" w:name="_Toc211244988"/>
      <w:bookmarkStart w:id="2" w:name="_Toc13095"/>
    </w:p>
    <w:bookmarkEnd w:id="0"/>
    <w:bookmarkEnd w:id="1"/>
    <w:bookmarkEnd w:id="2"/>
    <w:p w14:paraId="505BFA26">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7A6DBC71">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3B93548C">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14:paraId="6A0BDC9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黄砂</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082E90B7">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招标人联系人：朱丽（联系电话：13218960628）（长征西路14号）</w:t>
      </w:r>
    </w:p>
    <w:p w14:paraId="0B835DB5">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项目部联系人：陆彬彬（联系电话：18652750799）</w:t>
      </w:r>
    </w:p>
    <w:p w14:paraId="57F5C8B0">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14:paraId="4CC4958C">
      <w:pPr>
        <w:keepNext w:val="0"/>
        <w:keepLines w:val="0"/>
        <w:pageBreakBefore w:val="0"/>
        <w:widowControl w:val="0"/>
        <w:kinsoku/>
        <w:wordWrap/>
        <w:overflowPunct/>
        <w:topLinePunct w:val="0"/>
        <w:autoSpaceDE/>
        <w:autoSpaceDN/>
        <w:bidi w:val="0"/>
        <w:spacing w:line="332" w:lineRule="auto"/>
        <w:ind w:firstLine="480"/>
        <w:textAlignment w:val="auto"/>
        <w:rPr>
          <w:rFonts w:hint="eastAsia" w:ascii="宋体" w:hAnsi="宋体"/>
          <w:sz w:val="24"/>
          <w:szCs w:val="32"/>
        </w:rPr>
      </w:pPr>
      <w:r>
        <w:rPr>
          <w:rFonts w:hint="eastAsia" w:ascii="Times New Roman" w:hAnsi="Times New Roman" w:eastAsia="宋体"/>
          <w:sz w:val="24"/>
          <w:szCs w:val="24"/>
        </w:rPr>
        <w:t>投标文件可现场投递或邮寄，投标人应在202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hint="eastAsia" w:ascii="Times New Roman" w:hAnsi="Times New Roman" w:eastAsia="宋体"/>
          <w:sz w:val="24"/>
          <w:szCs w:val="24"/>
        </w:rPr>
        <w:t>前（招标人收到投标</w:t>
      </w:r>
      <w:r>
        <w:rPr>
          <w:rFonts w:hint="eastAsia" w:ascii="宋体" w:hAnsi="宋体"/>
          <w:sz w:val="24"/>
          <w:szCs w:val="32"/>
        </w:rPr>
        <w:t>文件的截止时间）邮政EMS寄到扬州市长征西路14号江苏省水利建设工程有限公司前二楼财物部20</w:t>
      </w:r>
      <w:r>
        <w:rPr>
          <w:rFonts w:hint="eastAsia" w:ascii="宋体" w:hAnsi="宋体"/>
          <w:sz w:val="24"/>
          <w:szCs w:val="32"/>
          <w:lang w:val="en-US" w:eastAsia="zh-CN"/>
        </w:rPr>
        <w:t>2</w:t>
      </w:r>
      <w:r>
        <w:rPr>
          <w:rFonts w:hint="eastAsia" w:ascii="宋体" w:hAnsi="宋体"/>
          <w:sz w:val="24"/>
          <w:szCs w:val="32"/>
        </w:rPr>
        <w:t>办公室</w:t>
      </w:r>
      <w:r>
        <w:rPr>
          <w:rFonts w:hint="eastAsia" w:ascii="宋体" w:hAnsi="宋体"/>
          <w:sz w:val="24"/>
          <w:szCs w:val="32"/>
          <w:lang w:val="en-US" w:eastAsia="zh-CN"/>
        </w:rPr>
        <w:t>朱丽</w:t>
      </w:r>
      <w:r>
        <w:rPr>
          <w:rFonts w:hint="eastAsia" w:ascii="宋体" w:hAnsi="宋体"/>
          <w:sz w:val="24"/>
          <w:szCs w:val="32"/>
        </w:rPr>
        <w:t>收或现场投递，现场投递的由投标人将投标文件直接递交给招标联系人</w:t>
      </w:r>
      <w:r>
        <w:rPr>
          <w:rFonts w:hint="eastAsia" w:ascii="宋体" w:hAnsi="宋体"/>
          <w:sz w:val="24"/>
          <w:szCs w:val="32"/>
          <w:lang w:val="en-US" w:eastAsia="zh-CN"/>
        </w:rPr>
        <w:t>朱丽</w:t>
      </w:r>
      <w:r>
        <w:rPr>
          <w:rFonts w:hint="eastAsia" w:ascii="宋体" w:hAnsi="宋体"/>
          <w:sz w:val="24"/>
          <w:szCs w:val="32"/>
        </w:rPr>
        <w:t>。投标文件要密封，封面要盖公章，不密封或不盖公章的投标无效。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14:paraId="0BD3086D">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14:paraId="7195E6B9">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14:paraId="2926EB85">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lang w:eastAsia="zh-CN"/>
        </w:rPr>
        <w:t>月</w:t>
      </w:r>
      <w:r>
        <w:rPr>
          <w:rFonts w:hint="eastAsia" w:ascii="Times New Roman" w:hAnsi="Times New Roman"/>
          <w:color w:val="auto"/>
          <w:sz w:val="24"/>
          <w:szCs w:val="24"/>
          <w:highlight w:val="none"/>
          <w:lang w:val="en-US" w:eastAsia="zh-CN"/>
        </w:rPr>
        <w:t>22</w:t>
      </w:r>
      <w:r>
        <w:rPr>
          <w:rFonts w:hint="eastAsia" w:ascii="Times New Roman" w:hAnsi="Times New Roman"/>
          <w:color w:val="auto"/>
          <w:sz w:val="24"/>
          <w:szCs w:val="24"/>
          <w:highlight w:val="none"/>
          <w:lang w:eastAsia="zh-CN"/>
        </w:rPr>
        <w:t>日</w:t>
      </w:r>
      <w:r>
        <w:rPr>
          <w:rFonts w:hint="eastAsia" w:ascii="Times New Roman" w:hAnsi="Times New Roman"/>
          <w:color w:val="auto"/>
          <w:sz w:val="24"/>
          <w:szCs w:val="24"/>
          <w:highlight w:val="none"/>
          <w:lang w:val="en-US" w:eastAsia="zh-CN"/>
        </w:rPr>
        <w:t>下</w:t>
      </w:r>
      <w:r>
        <w:rPr>
          <w:rFonts w:hint="eastAsia" w:ascii="Times New Roman" w:hAnsi="Times New Roman"/>
          <w:color w:val="auto"/>
          <w:sz w:val="24"/>
          <w:szCs w:val="24"/>
          <w:highlight w:val="none"/>
        </w:rPr>
        <w:t>午</w:t>
      </w:r>
      <w:r>
        <w:rPr>
          <w:rFonts w:hint="eastAsia" w:ascii="Times New Roman" w:hAnsi="Times New Roman"/>
          <w:color w:val="auto"/>
          <w:sz w:val="24"/>
          <w:szCs w:val="24"/>
          <w:highlight w:val="none"/>
          <w:lang w:val="en-US" w:eastAsia="zh-CN"/>
        </w:rPr>
        <w:t>16</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w:t>
      </w:r>
      <w:r>
        <w:rPr>
          <w:rFonts w:ascii="Times New Roman" w:hAnsi="Times New Roman"/>
          <w:color w:val="auto"/>
          <w:sz w:val="24"/>
          <w:szCs w:val="24"/>
          <w:highlight w:val="none"/>
        </w:rPr>
        <w:t>0前从单位基本账户将投标保证金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FF0000"/>
          <w:sz w:val="24"/>
          <w:szCs w:val="24"/>
          <w:highlight w:val="none"/>
          <w:lang w:val="en-US" w:eastAsia="zh-CN"/>
        </w:rPr>
        <w:t>壹拾壹万元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淮阜枢纽交通桥黄砂采购投标保证金</w:t>
      </w:r>
      <w:r>
        <w:rPr>
          <w:rFonts w:ascii="Times New Roman" w:hAnsi="Times New Roman"/>
          <w:color w:val="auto"/>
          <w:sz w:val="24"/>
          <w:szCs w:val="24"/>
          <w:highlight w:val="none"/>
        </w:rPr>
        <w:t>。</w:t>
      </w:r>
      <w:r>
        <w:rPr>
          <w:rFonts w:ascii="宋体" w:hAnsi="宋体" w:eastAsia="宋体" w:cs="宋体"/>
          <w:color w:val="000000"/>
          <w:sz w:val="24"/>
          <w:szCs w:val="24"/>
        </w:rPr>
        <w:t>其他方式的投标</w:t>
      </w:r>
      <w:r>
        <w:rPr>
          <w:rFonts w:ascii="宋体" w:hAnsi="宋体" w:eastAsia="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Times New Roman" w:hAnsi="Times New Roman"/>
          <w:color w:val="auto"/>
          <w:sz w:val="24"/>
          <w:szCs w:val="24"/>
          <w:highlight w:val="none"/>
        </w:rPr>
        <w:t>投标保证金汇入账户：</w:t>
      </w:r>
    </w:p>
    <w:p w14:paraId="37D722A1">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14:paraId="50C3C118">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14:paraId="7E0A41F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bookmarkStart w:id="8" w:name="_GoBack"/>
      <w:bookmarkEnd w:id="8"/>
    </w:p>
    <w:p w14:paraId="77E54FB6">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7E1B28F4">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ascii="宋体" w:hAnsi="宋体" w:eastAsia="宋体" w:cs="宋体"/>
          <w:sz w:val="24"/>
          <w:szCs w:val="24"/>
        </w:rPr>
        <w:t>招标人于</w:t>
      </w:r>
      <w:r>
        <w:rPr>
          <w:rFonts w:hint="eastAsia" w:ascii="Times New Roman" w:hAnsi="Times New Roman" w:eastAsia="宋体"/>
          <w:sz w:val="24"/>
          <w:szCs w:val="24"/>
        </w:rPr>
        <w:t>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ascii="宋体" w:hAnsi="宋体" w:eastAsia="宋体" w:cs="宋体"/>
          <w:sz w:val="24"/>
          <w:szCs w:val="24"/>
        </w:rPr>
        <w:t>在江苏省水利建设工程有限公司（扬州市长征西路14号）开标，地点在公司五楼会议室。</w:t>
      </w:r>
    </w:p>
    <w:p w14:paraId="237231BC">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3F35644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rPr>
        <w:t>规格及暂定用量</w:t>
      </w:r>
    </w:p>
    <w:tbl>
      <w:tblPr>
        <w:tblStyle w:val="12"/>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275"/>
        <w:gridCol w:w="2000"/>
        <w:gridCol w:w="2179"/>
      </w:tblGrid>
      <w:tr w14:paraId="70D1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7E55C6A5">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923" w:type="dxa"/>
            <w:vAlign w:val="center"/>
          </w:tcPr>
          <w:p w14:paraId="3BB29EA1">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1039" w:type="dxa"/>
            <w:tcBorders>
              <w:right w:val="single" w:color="auto" w:sz="4" w:space="0"/>
            </w:tcBorders>
            <w:vAlign w:val="center"/>
          </w:tcPr>
          <w:p w14:paraId="4E7C5589">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275" w:type="dxa"/>
            <w:tcBorders>
              <w:top w:val="single" w:color="auto" w:sz="4" w:space="0"/>
              <w:left w:val="single" w:color="auto" w:sz="4" w:space="0"/>
              <w:right w:val="single" w:color="auto" w:sz="4" w:space="0"/>
            </w:tcBorders>
            <w:vAlign w:val="center"/>
          </w:tcPr>
          <w:p w14:paraId="43AAA292">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2000" w:type="dxa"/>
            <w:tcBorders>
              <w:top w:val="single" w:color="auto" w:sz="4" w:space="0"/>
              <w:left w:val="single" w:color="auto" w:sz="4" w:space="0"/>
              <w:right w:val="single" w:color="auto" w:sz="4" w:space="0"/>
            </w:tcBorders>
            <w:vAlign w:val="center"/>
          </w:tcPr>
          <w:p w14:paraId="042BA00C">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最高限价</w:t>
            </w:r>
            <w:r>
              <w:rPr>
                <w:rFonts w:hint="eastAsia" w:ascii="Times New Roman" w:hAnsi="Times New Roman" w:eastAsiaTheme="minorEastAsia"/>
                <w:sz w:val="24"/>
                <w:szCs w:val="24"/>
              </w:rPr>
              <w:t>（元/吨）</w:t>
            </w:r>
          </w:p>
        </w:tc>
        <w:tc>
          <w:tcPr>
            <w:tcW w:w="2179" w:type="dxa"/>
            <w:tcBorders>
              <w:top w:val="single" w:color="auto" w:sz="4" w:space="0"/>
              <w:left w:val="single" w:color="auto" w:sz="4" w:space="0"/>
              <w:right w:val="single" w:color="auto" w:sz="4" w:space="0"/>
            </w:tcBorders>
            <w:vAlign w:val="center"/>
          </w:tcPr>
          <w:p w14:paraId="18A79A25">
            <w:pPr>
              <w:keepNext w:val="0"/>
              <w:keepLines w:val="0"/>
              <w:suppressLineNumbers w:val="0"/>
              <w:spacing w:before="0" w:beforeAutospacing="0" w:after="0" w:afterAutospacing="0"/>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14:paraId="7964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24349A35">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黄砂</w:t>
            </w:r>
          </w:p>
        </w:tc>
        <w:tc>
          <w:tcPr>
            <w:tcW w:w="1923" w:type="dxa"/>
            <w:vAlign w:val="center"/>
          </w:tcPr>
          <w:p w14:paraId="110CBB73">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细度模数</w:t>
            </w:r>
            <w:r>
              <w:rPr>
                <w:rFonts w:hint="eastAsia" w:ascii="宋体" w:hAnsi="宋体" w:cs="宋体"/>
                <w:color w:val="auto"/>
                <w:sz w:val="24"/>
                <w:szCs w:val="24"/>
              </w:rPr>
              <w:t>≥</w:t>
            </w:r>
            <w:r>
              <w:rPr>
                <w:rFonts w:hint="eastAsia" w:ascii="Times New Roman" w:hAnsi="Times New Roman" w:eastAsiaTheme="minorEastAsia"/>
                <w:color w:val="auto"/>
                <w:sz w:val="24"/>
                <w:szCs w:val="24"/>
              </w:rPr>
              <w:t>2.3</w:t>
            </w:r>
          </w:p>
        </w:tc>
        <w:tc>
          <w:tcPr>
            <w:tcW w:w="1039" w:type="dxa"/>
            <w:vAlign w:val="center"/>
          </w:tcPr>
          <w:p w14:paraId="307FD63D">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汨罗江</w:t>
            </w:r>
          </w:p>
        </w:tc>
        <w:tc>
          <w:tcPr>
            <w:tcW w:w="1275" w:type="dxa"/>
            <w:vAlign w:val="center"/>
          </w:tcPr>
          <w:p w14:paraId="5160C89B">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lang w:val="en-US" w:eastAsia="zh-CN"/>
              </w:rPr>
              <w:t>160</w:t>
            </w:r>
            <w:r>
              <w:rPr>
                <w:rFonts w:hint="eastAsia" w:ascii="Times New Roman" w:hAnsi="Times New Roman" w:eastAsiaTheme="minorEastAsia"/>
                <w:color w:val="auto"/>
                <w:sz w:val="24"/>
                <w:szCs w:val="24"/>
              </w:rPr>
              <w:t>00</w:t>
            </w:r>
          </w:p>
        </w:tc>
        <w:tc>
          <w:tcPr>
            <w:tcW w:w="2000" w:type="dxa"/>
            <w:vAlign w:val="center"/>
          </w:tcPr>
          <w:p w14:paraId="08FCD52D">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123</w:t>
            </w:r>
          </w:p>
        </w:tc>
        <w:tc>
          <w:tcPr>
            <w:tcW w:w="2179" w:type="dxa"/>
            <w:vAlign w:val="center"/>
          </w:tcPr>
          <w:p w14:paraId="668AE448">
            <w:pPr>
              <w:keepNext w:val="0"/>
              <w:keepLines w:val="0"/>
              <w:suppressLineNumbers w:val="0"/>
              <w:spacing w:before="0" w:beforeAutospacing="0" w:after="0" w:afterAutospacing="0"/>
              <w:ind w:left="-1" w:leftChars="-1" w:right="0" w:hanging="1"/>
              <w:rPr>
                <w:rFonts w:hint="default" w:ascii="Times New Roman" w:hAnsi="Times New Roman" w:eastAsiaTheme="minorEastAsia"/>
                <w:color w:val="auto"/>
                <w:sz w:val="24"/>
                <w:szCs w:val="24"/>
                <w:lang w:val="en-US" w:eastAsia="zh-CN"/>
              </w:rPr>
            </w:pPr>
          </w:p>
        </w:tc>
      </w:tr>
    </w:tbl>
    <w:p w14:paraId="70111718">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备注：黄砂暂定数量总计约</w:t>
      </w:r>
      <w:r>
        <w:rPr>
          <w:rFonts w:hint="default" w:ascii="Times New Roman" w:hAnsi="Times New Roman" w:cs="Times New Roman"/>
          <w:b w:val="0"/>
          <w:bCs w:val="0"/>
          <w:color w:val="auto"/>
          <w:sz w:val="24"/>
          <w:szCs w:val="24"/>
          <w:lang w:val="en-US" w:eastAsia="zh-CN"/>
        </w:rPr>
        <w:t>16000吨，</w:t>
      </w:r>
      <w:r>
        <w:rPr>
          <w:rFonts w:hint="default" w:ascii="Times New Roman" w:hAnsi="Times New Roman" w:cs="Times New Roman"/>
          <w:b w:val="0"/>
          <w:bCs w:val="0"/>
          <w:sz w:val="24"/>
          <w:szCs w:val="24"/>
          <w:lang w:eastAsia="zh-Hans"/>
        </w:rPr>
        <w:t>上述</w:t>
      </w:r>
      <w:r>
        <w:rPr>
          <w:rFonts w:hint="default" w:ascii="Times New Roman" w:hAnsi="Times New Roman" w:cs="Times New Roman"/>
          <w:b w:val="0"/>
          <w:bCs w:val="0"/>
          <w:sz w:val="24"/>
          <w:szCs w:val="24"/>
        </w:rPr>
        <w:t>最高</w:t>
      </w:r>
      <w:r>
        <w:rPr>
          <w:rFonts w:hint="default" w:ascii="Times New Roman" w:hAnsi="Times New Roman" w:cs="Times New Roman"/>
          <w:b w:val="0"/>
          <w:bCs w:val="0"/>
          <w:sz w:val="24"/>
          <w:szCs w:val="24"/>
          <w:lang w:eastAsia="zh-Hans"/>
        </w:rPr>
        <w:t>限价</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en-US" w:eastAsia="zh-CN"/>
        </w:rPr>
        <w:t>23</w:t>
      </w:r>
      <w:r>
        <w:rPr>
          <w:rFonts w:hint="default" w:ascii="Times New Roman" w:hAnsi="Times New Roman" w:cs="Times New Roman"/>
          <w:b w:val="0"/>
          <w:bCs w:val="0"/>
          <w:sz w:val="24"/>
          <w:szCs w:val="24"/>
          <w:lang w:eastAsia="zh-Hans"/>
        </w:rPr>
        <w:t>元/吨中含税率为</w:t>
      </w:r>
      <w:r>
        <w:rPr>
          <w:rFonts w:hint="default" w:ascii="Times New Roman" w:hAnsi="Times New Roman" w:cs="Times New Roman"/>
          <w:b w:val="0"/>
          <w:bCs w:val="0"/>
          <w:sz w:val="24"/>
          <w:szCs w:val="24"/>
        </w:rPr>
        <w:t>13</w:t>
      </w:r>
      <w:r>
        <w:rPr>
          <w:rFonts w:hint="default" w:ascii="Times New Roman" w:hAnsi="Times New Roman" w:cs="Times New Roman"/>
          <w:b w:val="0"/>
          <w:bCs w:val="0"/>
          <w:sz w:val="24"/>
          <w:szCs w:val="24"/>
          <w:lang w:eastAsia="zh-Hans"/>
        </w:rPr>
        <w:t>%</w:t>
      </w:r>
      <w:r>
        <w:rPr>
          <w:rFonts w:hint="default" w:ascii="Times New Roman" w:hAnsi="Times New Roman" w:cs="Times New Roman"/>
          <w:b w:val="0"/>
          <w:bCs w:val="0"/>
          <w:sz w:val="24"/>
          <w:szCs w:val="24"/>
        </w:rPr>
        <w:t>的</w:t>
      </w:r>
      <w:r>
        <w:rPr>
          <w:rFonts w:hint="default" w:ascii="Times New Roman" w:hAnsi="Times New Roman" w:cs="Times New Roman"/>
          <w:b w:val="0"/>
          <w:bCs w:val="0"/>
          <w:sz w:val="24"/>
          <w:szCs w:val="24"/>
          <w:lang w:eastAsia="zh-Hans"/>
        </w:rPr>
        <w:t>增值税，不含增值税的限价单价为</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en-US" w:eastAsia="zh-CN"/>
        </w:rPr>
        <w:t>08.85</w:t>
      </w:r>
      <w:r>
        <w:rPr>
          <w:rFonts w:hint="default" w:ascii="Times New Roman" w:hAnsi="Times New Roman" w:cs="Times New Roman"/>
          <w:b w:val="0"/>
          <w:bCs w:val="0"/>
          <w:sz w:val="24"/>
          <w:szCs w:val="24"/>
          <w:lang w:eastAsia="zh-Hans"/>
        </w:rPr>
        <w:t>元/吨</w:t>
      </w:r>
      <w:r>
        <w:rPr>
          <w:rFonts w:hint="eastAsia" w:ascii="宋体" w:hAnsi="宋体" w:cs="宋体"/>
          <w:b w:val="0"/>
          <w:bCs w:val="0"/>
          <w:sz w:val="24"/>
          <w:szCs w:val="24"/>
          <w:lang w:eastAsia="zh-Hans"/>
        </w:rPr>
        <w:t>，超过限价的投标为无效标。</w:t>
      </w:r>
    </w:p>
    <w:p w14:paraId="63CEC045">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b/>
          <w:bCs/>
          <w:sz w:val="24"/>
          <w:szCs w:val="24"/>
        </w:rPr>
      </w:pPr>
      <w:r>
        <w:rPr>
          <w:rFonts w:hint="eastAsia" w:ascii="宋体" w:hAnsi="宋体" w:eastAsia="宋体" w:cs="宋体"/>
          <w:b w:val="0"/>
          <w:bCs w:val="0"/>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（阜宁金山混凝土有限公司南侧江苏水建搅拌站黄砂料仓）</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w:t>
      </w:r>
      <w:r>
        <w:rPr>
          <w:rFonts w:hint="eastAsia" w:ascii="宋体" w:hAnsi="宋体" w:eastAsia="宋体" w:cs="宋体"/>
          <w:b w:val="0"/>
          <w:bCs w:val="0"/>
          <w:color w:val="auto"/>
          <w:sz w:val="24"/>
          <w:szCs w:val="24"/>
        </w:rPr>
        <w:t>货款、</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值税专用发票（税金由中标人承担，包含在</w:t>
      </w:r>
      <w:r>
        <w:rPr>
          <w:rFonts w:hint="eastAsia" w:ascii="宋体" w:hAnsi="宋体" w:cs="宋体"/>
          <w:b w:val="0"/>
          <w:bCs w:val="0"/>
          <w:color w:val="auto"/>
          <w:sz w:val="24"/>
          <w:szCs w:val="24"/>
          <w:lang w:val="en-US" w:eastAsia="zh-CN"/>
        </w:rPr>
        <w:t>黄砂</w:t>
      </w:r>
      <w:r>
        <w:rPr>
          <w:rFonts w:hint="eastAsia" w:ascii="宋体" w:hAnsi="宋体" w:eastAsia="宋体" w:cs="宋体"/>
          <w:b w:val="0"/>
          <w:bCs w:val="0"/>
          <w:color w:val="auto"/>
          <w:sz w:val="24"/>
          <w:szCs w:val="24"/>
        </w:rPr>
        <w:t>价格中），中标人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b/>
          <w:bCs/>
          <w:sz w:val="24"/>
          <w:szCs w:val="24"/>
        </w:rPr>
        <w:t>投标单价为固定单价，</w:t>
      </w:r>
      <w:r>
        <w:rPr>
          <w:rFonts w:hint="eastAsia" w:ascii="Times New Roman" w:hAnsi="Times New Roman" w:cs="Times New Roman"/>
          <w:b/>
          <w:bCs/>
          <w:sz w:val="24"/>
          <w:szCs w:val="24"/>
          <w:lang w:val="en-US" w:eastAsia="zh-CN"/>
        </w:rPr>
        <w:t>在</w:t>
      </w:r>
      <w:r>
        <w:rPr>
          <w:rFonts w:hint="default" w:ascii="Times New Roman" w:hAnsi="Times New Roman" w:cs="Times New Roman"/>
          <w:b/>
          <w:bCs/>
          <w:sz w:val="24"/>
          <w:szCs w:val="24"/>
        </w:rPr>
        <w:t>供应期及供应量内</w:t>
      </w:r>
      <w:r>
        <w:rPr>
          <w:rFonts w:hint="eastAsia" w:ascii="Times New Roman" w:hAnsi="Times New Roman" w:cs="Times New Roman"/>
          <w:b/>
          <w:bCs/>
          <w:sz w:val="24"/>
          <w:szCs w:val="24"/>
          <w:lang w:val="en-US" w:eastAsia="zh-CN"/>
        </w:rPr>
        <w:t>中标人</w:t>
      </w:r>
      <w:r>
        <w:rPr>
          <w:rFonts w:hint="default" w:ascii="Times New Roman" w:hAnsi="Times New Roman" w:cs="Times New Roman"/>
          <w:b/>
          <w:bCs/>
          <w:sz w:val="24"/>
          <w:szCs w:val="24"/>
        </w:rPr>
        <w:t>单价不随市场价格变动而调整。</w:t>
      </w:r>
    </w:p>
    <w:p w14:paraId="2C60536F">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项目部承担3%含水量，实测含水量-3%含水量的差值为扣减含水量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实际收到的</w:t>
      </w:r>
      <w:r>
        <w:rPr>
          <w:rFonts w:hint="eastAsia" w:ascii="宋体" w:hAnsi="宋体" w:cs="宋体"/>
          <w:sz w:val="24"/>
          <w:szCs w:val="24"/>
          <w:lang w:val="en-US" w:eastAsia="zh-CN"/>
        </w:rPr>
        <w:t>黄砂</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14:paraId="32CD52FD">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lang w:eastAsia="zh-Hans"/>
        </w:rPr>
        <w:t>、</w:t>
      </w:r>
      <w:r>
        <w:rPr>
          <w:rFonts w:hint="eastAsia" w:ascii="宋体" w:hAnsi="宋体" w:cs="宋体"/>
          <w:sz w:val="24"/>
          <w:szCs w:val="24"/>
        </w:rPr>
        <w:t>黄砂</w:t>
      </w:r>
      <w:r>
        <w:rPr>
          <w:rFonts w:hint="eastAsia" w:ascii="宋体" w:hAnsi="宋体" w:cs="宋体"/>
          <w:sz w:val="24"/>
          <w:szCs w:val="24"/>
          <w:lang w:eastAsia="zh-Hans"/>
        </w:rPr>
        <w:t>必须符合《</w:t>
      </w:r>
      <w:r>
        <w:rPr>
          <w:rFonts w:hint="eastAsia" w:ascii="宋体" w:hAnsi="宋体" w:cs="宋体"/>
          <w:color w:val="32323C"/>
          <w:sz w:val="24"/>
          <w:szCs w:val="24"/>
          <w:shd w:val="clear" w:color="auto" w:fill="FFFFFF"/>
        </w:rPr>
        <w:t>建设用砂</w:t>
      </w:r>
      <w:r>
        <w:rPr>
          <w:rFonts w:hint="eastAsia" w:ascii="宋体" w:hAnsi="宋体" w:cs="宋体"/>
          <w:sz w:val="24"/>
          <w:szCs w:val="24"/>
          <w:lang w:eastAsia="zh-Hans"/>
        </w:rPr>
        <w:t>》</w:t>
      </w:r>
      <w:r>
        <w:rPr>
          <w:rFonts w:hint="default" w:ascii="Times New Roman" w:hAnsi="Times New Roman" w:cs="Times New Roman"/>
          <w:sz w:val="24"/>
          <w:szCs w:val="24"/>
          <w:lang w:eastAsia="zh-Hans"/>
        </w:rPr>
        <w:t>（</w:t>
      </w:r>
      <w:r>
        <w:rPr>
          <w:rFonts w:hint="default" w:ascii="Times New Roman" w:hAnsi="Times New Roman" w:cs="Times New Roman"/>
          <w:color w:val="32323C"/>
          <w:sz w:val="24"/>
          <w:szCs w:val="24"/>
          <w:shd w:val="clear" w:color="auto" w:fill="FFFFFF"/>
        </w:rPr>
        <w:t>GB/T 14684-2022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、《水工混凝土施工规范》（SL677-2014）</w:t>
      </w:r>
      <w:r>
        <w:rPr>
          <w:rFonts w:hint="eastAsia" w:ascii="宋体" w:hAnsi="宋体" w:cs="宋体"/>
          <w:sz w:val="24"/>
          <w:szCs w:val="24"/>
          <w:lang w:eastAsia="zh-Hans"/>
        </w:rPr>
        <w:t>标准及相关规范要求。合同签订后有最新标准的，自动执行最新标准。</w:t>
      </w:r>
      <w:r>
        <w:rPr>
          <w:rFonts w:hint="eastAsia" w:ascii="宋体" w:hAnsi="宋体" w:cs="宋体"/>
          <w:sz w:val="24"/>
          <w:szCs w:val="24"/>
        </w:rPr>
        <w:t>主要指标：</w:t>
      </w:r>
      <w:r>
        <w:rPr>
          <w:rFonts w:hint="eastAsia" w:ascii="宋体" w:hAnsi="宋体" w:cs="宋体"/>
          <w:sz w:val="24"/>
          <w:szCs w:val="24"/>
          <w:lang w:eastAsia="zh-Hans"/>
        </w:rPr>
        <w:t>含泥量标准为≤</w:t>
      </w:r>
      <w:r>
        <w:rPr>
          <w:rFonts w:hint="eastAsia" w:ascii="Times New Roman" w:hAnsi="Times New Roman" w:cs="Times New Roman"/>
          <w:sz w:val="24"/>
          <w:szCs w:val="24"/>
          <w:lang w:eastAsia="zh-Hans"/>
        </w:rPr>
        <w:t>3.0%</w:t>
      </w:r>
      <w:r>
        <w:rPr>
          <w:rFonts w:hint="eastAsia" w:ascii="宋体" w:hAnsi="宋体" w:cs="宋体"/>
          <w:sz w:val="24"/>
          <w:szCs w:val="24"/>
          <w:lang w:eastAsia="zh-Hans"/>
        </w:rPr>
        <w:t>、泥块含泥量</w:t>
      </w:r>
      <w:r>
        <w:rPr>
          <w:rFonts w:hint="eastAsia" w:ascii="宋体" w:hAnsi="宋体" w:cs="宋体"/>
          <w:sz w:val="24"/>
          <w:szCs w:val="24"/>
        </w:rPr>
        <w:t>为</w:t>
      </w:r>
      <w:r>
        <w:rPr>
          <w:rFonts w:hint="eastAsia" w:ascii="Times New Roman" w:hAnsi="Times New Roman" w:cs="Times New Roman"/>
          <w:sz w:val="24"/>
          <w:szCs w:val="24"/>
          <w:lang w:eastAsia="zh-Hans"/>
        </w:rPr>
        <w:t>0</w:t>
      </w:r>
      <w:r>
        <w:rPr>
          <w:rFonts w:hint="eastAsia" w:ascii="宋体" w:hAnsi="宋体" w:cs="宋体"/>
          <w:sz w:val="24"/>
          <w:szCs w:val="24"/>
        </w:rPr>
        <w:t>、表观密度＞</w:t>
      </w:r>
      <w:r>
        <w:rPr>
          <w:rFonts w:hint="eastAsia" w:ascii="Times New Roman" w:hAnsi="Times New Roman" w:cs="Times New Roman"/>
          <w:sz w:val="24"/>
          <w:szCs w:val="24"/>
          <w:lang w:eastAsia="zh-Hans"/>
        </w:rPr>
        <w:t>2500(kg/m3)</w:t>
      </w:r>
      <w:r>
        <w:rPr>
          <w:rFonts w:hint="eastAsia" w:ascii="宋体" w:hAnsi="宋体" w:cs="宋体"/>
          <w:sz w:val="24"/>
          <w:szCs w:val="24"/>
        </w:rPr>
        <w:t>、云母含量</w:t>
      </w:r>
      <w:r>
        <w:rPr>
          <w:rFonts w:hint="eastAsia" w:ascii="宋体" w:hAnsi="宋体" w:cs="宋体"/>
          <w:sz w:val="24"/>
          <w:szCs w:val="24"/>
          <w:lang w:eastAsia="zh-Hans"/>
        </w:rPr>
        <w:t>≤</w:t>
      </w:r>
      <w:r>
        <w:rPr>
          <w:rFonts w:hint="eastAsia" w:ascii="Times New Roman" w:hAnsi="Times New Roman" w:cs="Times New Roman"/>
          <w:sz w:val="24"/>
          <w:szCs w:val="24"/>
          <w:lang w:eastAsia="zh-Hans"/>
        </w:rPr>
        <w:t>2.0%、</w:t>
      </w:r>
      <w:r>
        <w:rPr>
          <w:rFonts w:hint="eastAsia" w:ascii="宋体" w:hAnsi="宋体" w:cs="宋体"/>
          <w:sz w:val="24"/>
          <w:szCs w:val="24"/>
        </w:rPr>
        <w:t>轻物质</w:t>
      </w:r>
      <w:r>
        <w:rPr>
          <w:rFonts w:hint="eastAsia" w:ascii="宋体" w:hAnsi="宋体" w:cs="宋体"/>
          <w:sz w:val="24"/>
          <w:szCs w:val="24"/>
          <w:lang w:eastAsia="zh-Hans"/>
        </w:rPr>
        <w:t>≤</w:t>
      </w:r>
      <w:r>
        <w:rPr>
          <w:rFonts w:hint="eastAsia" w:ascii="Times New Roman" w:hAnsi="Times New Roman" w:cs="Times New Roman"/>
          <w:sz w:val="24"/>
          <w:szCs w:val="24"/>
          <w:lang w:eastAsia="zh-Hans"/>
        </w:rPr>
        <w:t>1.0%、</w:t>
      </w:r>
      <w:r>
        <w:rPr>
          <w:rFonts w:hint="eastAsia" w:ascii="宋体" w:hAnsi="宋体" w:cs="宋体"/>
          <w:sz w:val="24"/>
          <w:szCs w:val="24"/>
        </w:rPr>
        <w:t>碱活性符合水利规范。</w:t>
      </w:r>
    </w:p>
    <w:p w14:paraId="7BF8E545">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Hans"/>
        </w:rPr>
        <w:t>供应过程中严格要求</w:t>
      </w:r>
      <w:r>
        <w:rPr>
          <w:rFonts w:hint="eastAsia" w:ascii="宋体" w:hAnsi="宋体" w:cs="宋体"/>
          <w:sz w:val="24"/>
          <w:szCs w:val="24"/>
          <w:highlight w:val="none"/>
          <w:lang w:val="en-US" w:eastAsia="zh-CN"/>
        </w:rPr>
        <w:t>黄砂</w:t>
      </w:r>
      <w:r>
        <w:rPr>
          <w:rFonts w:hint="eastAsia" w:ascii="宋体" w:hAnsi="宋体" w:eastAsia="宋体" w:cs="宋体"/>
          <w:sz w:val="24"/>
          <w:szCs w:val="24"/>
          <w:highlight w:val="none"/>
          <w:lang w:val="en-US" w:eastAsia="zh-CN"/>
        </w:rPr>
        <w:t>质量</w:t>
      </w:r>
      <w:r>
        <w:rPr>
          <w:rFonts w:hint="eastAsia" w:ascii="宋体" w:hAnsi="宋体" w:eastAsia="宋体" w:cs="宋体"/>
          <w:sz w:val="24"/>
          <w:szCs w:val="24"/>
          <w:highlight w:val="none"/>
          <w:lang w:eastAsia="zh-Hans"/>
        </w:rPr>
        <w:t>，如若供应过程中项目部查出供应商</w:t>
      </w:r>
      <w:r>
        <w:rPr>
          <w:rFonts w:hint="eastAsia" w:ascii="宋体" w:hAnsi="宋体" w:eastAsia="宋体" w:cs="宋体"/>
          <w:sz w:val="24"/>
          <w:szCs w:val="24"/>
          <w:highlight w:val="none"/>
          <w:lang w:val="en-US" w:eastAsia="zh-CN"/>
        </w:rPr>
        <w:t>以次充好的，</w:t>
      </w:r>
      <w:r>
        <w:rPr>
          <w:rFonts w:hint="eastAsia" w:ascii="宋体" w:hAnsi="宋体" w:eastAsia="宋体" w:cs="宋体"/>
          <w:sz w:val="24"/>
          <w:szCs w:val="24"/>
          <w:highlight w:val="none"/>
          <w:lang w:eastAsia="zh-Hans"/>
        </w:rPr>
        <w:t>项目部将</w:t>
      </w:r>
      <w:r>
        <w:rPr>
          <w:rFonts w:hint="eastAsia" w:ascii="宋体" w:hAnsi="宋体" w:eastAsia="宋体" w:cs="宋体"/>
          <w:color w:val="0000FF"/>
          <w:sz w:val="24"/>
          <w:szCs w:val="24"/>
          <w:highlight w:val="none"/>
          <w:lang w:val="en-US" w:eastAsia="zh-CN"/>
        </w:rPr>
        <w:t>没收其履约保证金</w:t>
      </w:r>
      <w:r>
        <w:rPr>
          <w:rFonts w:hint="eastAsia" w:ascii="宋体" w:hAnsi="宋体" w:eastAsia="宋体" w:cs="宋体"/>
          <w:sz w:val="24"/>
          <w:szCs w:val="24"/>
          <w:highlight w:val="none"/>
          <w:lang w:eastAsia="zh-Hans"/>
        </w:rPr>
        <w:t>。造成项目部相关损失的（</w:t>
      </w:r>
      <w:r>
        <w:rPr>
          <w:rFonts w:hint="eastAsia" w:ascii="宋体" w:hAnsi="宋体" w:eastAsia="宋体" w:cs="宋体"/>
          <w:color w:val="0000FF"/>
          <w:sz w:val="24"/>
          <w:szCs w:val="24"/>
          <w:highlight w:val="none"/>
          <w:lang w:eastAsia="zh-Hans"/>
        </w:rPr>
        <w:t>包括但不限于工程产品报废、返工返修、工期延误</w:t>
      </w:r>
      <w:r>
        <w:rPr>
          <w:rFonts w:hint="eastAsia" w:ascii="宋体" w:hAnsi="宋体" w:eastAsia="宋体" w:cs="宋体"/>
          <w:color w:val="0000FF"/>
          <w:sz w:val="24"/>
          <w:szCs w:val="24"/>
          <w:highlight w:val="none"/>
          <w:lang w:eastAsia="zh-CN"/>
        </w:rPr>
        <w:t>、</w:t>
      </w:r>
      <w:r>
        <w:rPr>
          <w:rFonts w:hint="eastAsia" w:ascii="宋体" w:hAnsi="宋体" w:eastAsia="宋体" w:cs="宋体"/>
          <w:color w:val="0000FF"/>
          <w:sz w:val="24"/>
          <w:szCs w:val="24"/>
          <w:highlight w:val="none"/>
          <w:lang w:val="en-US" w:eastAsia="zh-CN"/>
        </w:rPr>
        <w:t>鉴定费、律师费、诉讼费、差旅费</w:t>
      </w:r>
      <w:r>
        <w:rPr>
          <w:rFonts w:hint="default" w:ascii="宋体" w:hAnsi="宋体" w:eastAsia="宋体" w:cs="宋体"/>
          <w:color w:val="0000FF"/>
          <w:sz w:val="24"/>
          <w:szCs w:val="24"/>
          <w:highlight w:val="none"/>
          <w:lang w:eastAsia="zh-Hans"/>
        </w:rPr>
        <w:t>等</w:t>
      </w:r>
      <w:r>
        <w:rPr>
          <w:rFonts w:hint="default" w:ascii="宋体" w:hAnsi="宋体" w:eastAsia="宋体" w:cs="宋体"/>
          <w:color w:val="0000FF"/>
          <w:sz w:val="24"/>
          <w:szCs w:val="24"/>
          <w:highlight w:val="none"/>
          <w:lang w:val="en-US" w:eastAsia="zh-CN"/>
        </w:rPr>
        <w:t>费用和</w:t>
      </w:r>
      <w:r>
        <w:rPr>
          <w:rFonts w:hint="default" w:ascii="宋体" w:hAnsi="宋体" w:eastAsia="宋体" w:cs="宋体"/>
          <w:color w:val="0000FF"/>
          <w:sz w:val="24"/>
          <w:szCs w:val="24"/>
          <w:highlight w:val="none"/>
          <w:lang w:eastAsia="zh-Hans"/>
        </w:rPr>
        <w:t>损失</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14:paraId="4B309A33">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eastAsia="宋体" w:cs="Times New Roman"/>
          <w:sz w:val="24"/>
          <w:szCs w:val="24"/>
          <w:highlight w:val="none"/>
          <w:lang w:eastAsia="zh-Hans"/>
        </w:rPr>
        <w:t>202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年</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月</w:t>
      </w:r>
      <w:r>
        <w:rPr>
          <w:rFonts w:hint="default" w:ascii="Times New Roman" w:hAnsi="Times New Roman" w:cs="Times New Roman"/>
          <w:sz w:val="24"/>
          <w:szCs w:val="24"/>
          <w:highlight w:val="none"/>
          <w:lang w:val="en-US" w:eastAsia="zh-CN"/>
        </w:rPr>
        <w:t>28</w:t>
      </w:r>
      <w:r>
        <w:rPr>
          <w:rFonts w:hint="default" w:ascii="Times New Roman" w:hAnsi="Times New Roman" w:eastAsia="宋体" w:cs="Times New Roman"/>
          <w:sz w:val="24"/>
          <w:szCs w:val="24"/>
          <w:highlight w:val="none"/>
          <w:lang w:eastAsia="zh-Hans"/>
        </w:rPr>
        <w:t>日至202</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月</w:t>
      </w:r>
      <w:r>
        <w:rPr>
          <w:rFonts w:hint="default" w:ascii="Times New Roman" w:hAnsi="Times New Roman" w:cs="Times New Roman"/>
          <w:sz w:val="24"/>
          <w:szCs w:val="24"/>
          <w:highlight w:val="none"/>
          <w:lang w:val="en-US" w:eastAsia="zh-CN"/>
        </w:rPr>
        <w:t>20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黄砂</w:t>
      </w:r>
      <w:r>
        <w:rPr>
          <w:rFonts w:hint="eastAsia" w:ascii="宋体" w:hAnsi="宋体" w:eastAsia="宋体" w:cs="宋体"/>
          <w:sz w:val="24"/>
          <w:szCs w:val="24"/>
          <w:highlight w:val="none"/>
          <w:lang w:eastAsia="zh-Hans"/>
        </w:rPr>
        <w:t>用量高峰时需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sz w:val="24"/>
          <w:szCs w:val="24"/>
          <w:highlight w:val="none"/>
        </w:rPr>
        <w:t>5000元</w:t>
      </w:r>
      <w:r>
        <w:rPr>
          <w:rFonts w:hint="eastAsia" w:ascii="宋体" w:hAnsi="宋体" w:eastAsia="宋体" w:cs="宋体"/>
          <w:sz w:val="24"/>
          <w:szCs w:val="24"/>
          <w:highlight w:val="none"/>
          <w:lang w:eastAsia="zh-Hans"/>
        </w:rPr>
        <w:t>。</w:t>
      </w:r>
    </w:p>
    <w:p w14:paraId="3A29EABB">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江苏省水利建设工程有限公司淮河入海水道二期</w:t>
      </w:r>
      <w:r>
        <w:rPr>
          <w:rFonts w:hint="eastAsia" w:ascii="宋体" w:hAnsi="宋体" w:cs="宋体"/>
          <w:sz w:val="24"/>
          <w:szCs w:val="24"/>
          <w:highlight w:val="none"/>
          <w:lang w:val="en-US" w:eastAsia="zh-CN"/>
        </w:rPr>
        <w:t>盐城市境内淮阜枢纽交通桥工程施工现场指定地点</w:t>
      </w:r>
      <w:r>
        <w:rPr>
          <w:rFonts w:hint="eastAsia" w:ascii="Times New Roman" w:hAnsi="Times New Roman"/>
          <w:b/>
          <w:bCs/>
          <w:color w:val="auto"/>
          <w:sz w:val="24"/>
          <w:szCs w:val="24"/>
          <w:highlight w:val="none"/>
          <w:lang w:val="en-US" w:eastAsia="zh-CN"/>
        </w:rPr>
        <w:t>（阜宁金山混凝土有限公司南侧江苏水建搅拌站黄砂料仓）</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eastAsia" w:ascii="Times New Roman" w:hAnsi="Times New Roman" w:cs="Times New Roman"/>
          <w:color w:val="0000FF"/>
          <w:sz w:val="24"/>
          <w:szCs w:val="24"/>
          <w:highlight w:val="none"/>
          <w:lang w:val="en-US" w:eastAsia="zh-CN"/>
        </w:rPr>
        <w:t>。</w:t>
      </w:r>
    </w:p>
    <w:p w14:paraId="624FC874">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8、中标人需派专人为项目部提供7×24小时的服务，包括但不限于工程项目部供货计划的接收、供货的协调、黄砂收货签单的核对、与项目部办理结算等。提供服务人员须在半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14:paraId="54BDDD50">
      <w:pPr>
        <w:pStyle w:val="22"/>
        <w:keepNext w:val="0"/>
        <w:keepLines w:val="0"/>
        <w:pageBreakBefore w:val="0"/>
        <w:widowControl w:val="0"/>
        <w:kinsoku/>
        <w:wordWrap/>
        <w:overflowPunct/>
        <w:topLinePunct w:val="0"/>
        <w:autoSpaceDE/>
        <w:autoSpaceDN/>
        <w:bidi w:val="0"/>
        <w:spacing w:line="336" w:lineRule="auto"/>
        <w:ind w:firstLineChars="0"/>
        <w:textAlignment w:val="auto"/>
        <w:rPr>
          <w:b/>
          <w:bCs/>
          <w:color w:val="auto"/>
          <w:sz w:val="24"/>
          <w:szCs w:val="24"/>
          <w:highlight w:val="none"/>
        </w:rPr>
      </w:pPr>
      <w:r>
        <w:rPr>
          <w:b/>
          <w:bCs/>
          <w:color w:val="auto"/>
          <w:sz w:val="24"/>
          <w:szCs w:val="24"/>
          <w:highlight w:val="none"/>
        </w:rPr>
        <w:t>六、结算和付款方式</w:t>
      </w:r>
    </w:p>
    <w:p w14:paraId="28AD99FD">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14:paraId="6FE277C4">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黄砂进场必须经过实验室对运输设备料场上、中、下取样3次及以上并试验测量含水率，以3次及以上测量的最大含水率为计量依据。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并扣除实验室提供的最大含水率折算的含水量后确认黄砂吨位数量，黄砂收货人员签字的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14:paraId="428AF6FB">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14:paraId="4C549B20">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s="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F292E34">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14:paraId="4DD1B592">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43F0CB5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14:paraId="1FE7108A">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5C628246">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13930C00">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221817E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3F83C5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1E180849">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13D1F6FB">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58C6B7E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14:paraId="166F864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14:paraId="6F53093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778C0A6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6195642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14:paraId="6EE93705">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的检测报告等相关资料</w:t>
      </w:r>
    </w:p>
    <w:p w14:paraId="3306F33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42F652BF">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229894E6">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14:paraId="43DF8A41">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71C7B46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1561D17B">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64AE165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059C5D2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5AAE6E9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14:paraId="414920E1">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74A16CD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混凝土拌和用黄砂采购（第一批）</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14:paraId="4649E81A">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7C501F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6CB05F3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79C299B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1C29C416">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624BE1E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14:paraId="2758370D">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3E0DCF9C">
      <w:pPr>
        <w:pStyle w:val="8"/>
        <w:rPr>
          <w:rFonts w:ascii="Times New Roman" w:hAnsi="Times New Roman" w:cs="Times New Roman"/>
          <w:b/>
          <w:color w:val="auto"/>
          <w:sz w:val="18"/>
          <w:szCs w:val="18"/>
          <w:highlight w:val="none"/>
        </w:rPr>
      </w:pPr>
    </w:p>
    <w:p w14:paraId="36D65BCF">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12FC783F">
      <w:pPr>
        <w:spacing w:line="360" w:lineRule="exact"/>
        <w:jc w:val="center"/>
        <w:rPr>
          <w:rFonts w:ascii="Times New Roman" w:hAnsi="Times New Roman"/>
          <w:b/>
          <w:color w:val="auto"/>
          <w:sz w:val="18"/>
          <w:szCs w:val="18"/>
          <w:highlight w:val="none"/>
        </w:rPr>
      </w:pPr>
    </w:p>
    <w:p w14:paraId="2EFADCD0">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w:t>
      </w:r>
      <w:r>
        <w:rPr>
          <w:rFonts w:hint="eastAsia" w:ascii="Times New Roman" w:hAnsi="Times New Roman"/>
          <w:b/>
          <w:bCs w:val="0"/>
          <w:color w:val="auto"/>
          <w:sz w:val="24"/>
          <w:szCs w:val="24"/>
          <w:highlight w:val="none"/>
          <w:u w:val="single"/>
          <w:lang w:eastAsia="zh-CN"/>
        </w:rPr>
        <w:t>盐城市境内淮阜枢纽交通桥工程施工</w:t>
      </w:r>
      <w:r>
        <w:rPr>
          <w:rFonts w:hint="eastAsia" w:ascii="Times New Roman" w:hAnsi="Times New Roman"/>
          <w:b/>
          <w:bCs w:val="0"/>
          <w:color w:val="auto"/>
          <w:sz w:val="24"/>
          <w:szCs w:val="24"/>
          <w:highlight w:val="none"/>
          <w:u w:val="single"/>
          <w:lang w:val="en-US" w:eastAsia="zh-CN"/>
        </w:rPr>
        <w:t>项目经理部</w:t>
      </w:r>
    </w:p>
    <w:p w14:paraId="16BC8F1C">
      <w:pPr>
        <w:spacing w:line="360" w:lineRule="exact"/>
        <w:jc w:val="center"/>
        <w:rPr>
          <w:rFonts w:ascii="Times New Roman" w:hAnsi="Times New Roman" w:eastAsia="黑体"/>
          <w:b/>
          <w:color w:val="auto"/>
          <w:sz w:val="18"/>
          <w:szCs w:val="18"/>
          <w:highlight w:val="none"/>
        </w:rPr>
      </w:pPr>
    </w:p>
    <w:p w14:paraId="57BFCA6F">
      <w:pPr>
        <w:spacing w:line="360" w:lineRule="exact"/>
        <w:jc w:val="center"/>
        <w:rPr>
          <w:rFonts w:ascii="Times New Roman" w:hAnsi="Times New Roman" w:eastAsia="黑体"/>
          <w:b/>
          <w:color w:val="auto"/>
          <w:sz w:val="18"/>
          <w:szCs w:val="18"/>
          <w:highlight w:val="none"/>
        </w:rPr>
      </w:pPr>
    </w:p>
    <w:p w14:paraId="331F69BE">
      <w:pPr>
        <w:spacing w:line="360" w:lineRule="exact"/>
        <w:jc w:val="center"/>
        <w:rPr>
          <w:rFonts w:ascii="Times New Roman" w:hAnsi="Times New Roman" w:eastAsia="黑体"/>
          <w:b/>
          <w:color w:val="auto"/>
          <w:sz w:val="28"/>
          <w:szCs w:val="28"/>
          <w:highlight w:val="none"/>
        </w:rPr>
      </w:pPr>
    </w:p>
    <w:p w14:paraId="18BFC68F">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eastAsia" w:ascii="Times New Roman" w:hAnsi="Times New Roman" w:eastAsia="黑体" w:cs="Times New Roman"/>
          <w:b/>
          <w:color w:val="auto"/>
          <w:sz w:val="28"/>
          <w:szCs w:val="28"/>
          <w:highlight w:val="none"/>
          <w:lang w:val="en-US" w:eastAsia="zh-CN"/>
        </w:rPr>
        <w:t>混凝土拌和用黄砂采购</w:t>
      </w:r>
    </w:p>
    <w:p w14:paraId="6174A51B">
      <w:pPr>
        <w:pStyle w:val="8"/>
        <w:spacing w:line="360" w:lineRule="exact"/>
        <w:rPr>
          <w:rFonts w:ascii="Times New Roman" w:hAnsi="Times New Roman" w:cs="Times New Roman"/>
          <w:color w:val="auto"/>
          <w:sz w:val="18"/>
          <w:szCs w:val="18"/>
          <w:highlight w:val="none"/>
        </w:rPr>
      </w:pPr>
    </w:p>
    <w:p w14:paraId="2CC67153">
      <w:pPr>
        <w:pStyle w:val="8"/>
        <w:rPr>
          <w:rFonts w:ascii="Times New Roman" w:hAnsi="Times New Roman" w:cs="Times New Roman"/>
          <w:color w:val="auto"/>
          <w:sz w:val="18"/>
          <w:szCs w:val="18"/>
          <w:highlight w:val="none"/>
        </w:rPr>
      </w:pPr>
    </w:p>
    <w:p w14:paraId="60FF81DD">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14:paraId="21F1AED2">
      <w:pPr>
        <w:pStyle w:val="8"/>
        <w:rPr>
          <w:rFonts w:ascii="Times New Roman" w:hAnsi="Times New Roman" w:cs="Times New Roman"/>
          <w:color w:val="auto"/>
          <w:sz w:val="18"/>
          <w:szCs w:val="18"/>
          <w:highlight w:val="none"/>
        </w:rPr>
      </w:pPr>
    </w:p>
    <w:p w14:paraId="759D5E49">
      <w:pPr>
        <w:pStyle w:val="8"/>
        <w:rPr>
          <w:rFonts w:ascii="Times New Roman" w:hAnsi="Times New Roman" w:cs="Times New Roman"/>
          <w:sz w:val="18"/>
          <w:szCs w:val="18"/>
        </w:rPr>
      </w:pPr>
    </w:p>
    <w:p w14:paraId="31370112">
      <w:pPr>
        <w:pStyle w:val="8"/>
        <w:rPr>
          <w:rFonts w:ascii="Times New Roman" w:hAnsi="Times New Roman" w:cs="Times New Roman"/>
          <w:sz w:val="18"/>
          <w:szCs w:val="18"/>
        </w:rPr>
      </w:pPr>
    </w:p>
    <w:p w14:paraId="2630CE68">
      <w:pPr>
        <w:pStyle w:val="8"/>
        <w:rPr>
          <w:rFonts w:ascii="Times New Roman" w:hAnsi="Times New Roman" w:cs="Times New Roman"/>
          <w:sz w:val="18"/>
          <w:szCs w:val="18"/>
        </w:rPr>
      </w:pPr>
    </w:p>
    <w:p w14:paraId="396B2E78">
      <w:pPr>
        <w:pStyle w:val="8"/>
        <w:rPr>
          <w:rFonts w:ascii="Times New Roman" w:hAnsi="Times New Roman" w:cs="Times New Roman"/>
          <w:sz w:val="18"/>
          <w:szCs w:val="18"/>
        </w:rPr>
      </w:pPr>
    </w:p>
    <w:p w14:paraId="5FE27E65">
      <w:pPr>
        <w:pStyle w:val="8"/>
        <w:rPr>
          <w:rFonts w:ascii="Times New Roman" w:hAnsi="Times New Roman" w:cs="Times New Roman"/>
          <w:sz w:val="18"/>
          <w:szCs w:val="18"/>
        </w:rPr>
      </w:pPr>
    </w:p>
    <w:p w14:paraId="0F17C981">
      <w:pPr>
        <w:pStyle w:val="8"/>
        <w:rPr>
          <w:rFonts w:ascii="Times New Roman" w:hAnsi="Times New Roman" w:cs="Times New Roman"/>
          <w:sz w:val="18"/>
          <w:szCs w:val="18"/>
        </w:rPr>
      </w:pPr>
    </w:p>
    <w:p w14:paraId="1E9A010E">
      <w:pPr>
        <w:pStyle w:val="8"/>
        <w:rPr>
          <w:rFonts w:ascii="Times New Roman" w:hAnsi="Times New Roman" w:cs="Times New Roman"/>
          <w:sz w:val="18"/>
          <w:szCs w:val="18"/>
        </w:rPr>
      </w:pPr>
    </w:p>
    <w:p w14:paraId="1527297D">
      <w:pPr>
        <w:pStyle w:val="8"/>
        <w:rPr>
          <w:rFonts w:ascii="Times New Roman" w:hAnsi="Times New Roman" w:cs="Times New Roman"/>
          <w:sz w:val="18"/>
          <w:szCs w:val="18"/>
        </w:rPr>
      </w:pPr>
    </w:p>
    <w:p w14:paraId="1A6F6B1E">
      <w:pPr>
        <w:pStyle w:val="8"/>
        <w:rPr>
          <w:rFonts w:ascii="Times New Roman" w:hAnsi="Times New Roman" w:cs="Times New Roman"/>
          <w:sz w:val="18"/>
          <w:szCs w:val="18"/>
        </w:rPr>
      </w:pPr>
    </w:p>
    <w:p w14:paraId="3F6D150C">
      <w:pPr>
        <w:pStyle w:val="8"/>
        <w:rPr>
          <w:rFonts w:ascii="Times New Roman" w:hAnsi="Times New Roman" w:cs="Times New Roman"/>
          <w:sz w:val="18"/>
          <w:szCs w:val="18"/>
        </w:rPr>
      </w:pPr>
    </w:p>
    <w:p w14:paraId="56CD3B35">
      <w:pPr>
        <w:pStyle w:val="8"/>
        <w:rPr>
          <w:rFonts w:ascii="Times New Roman" w:hAnsi="Times New Roman" w:cs="Times New Roman"/>
          <w:sz w:val="18"/>
          <w:szCs w:val="18"/>
        </w:rPr>
      </w:pPr>
    </w:p>
    <w:p w14:paraId="1A6555E5">
      <w:pPr>
        <w:pStyle w:val="8"/>
        <w:rPr>
          <w:rFonts w:ascii="Times New Roman" w:hAnsi="Times New Roman" w:cs="Times New Roman"/>
          <w:sz w:val="18"/>
          <w:szCs w:val="18"/>
        </w:rPr>
      </w:pPr>
    </w:p>
    <w:p w14:paraId="3C9CEC69">
      <w:pPr>
        <w:pStyle w:val="8"/>
        <w:rPr>
          <w:rFonts w:ascii="Times New Roman" w:hAnsi="Times New Roman" w:cs="Times New Roman"/>
          <w:sz w:val="18"/>
          <w:szCs w:val="18"/>
        </w:rPr>
      </w:pPr>
    </w:p>
    <w:p w14:paraId="6B265727">
      <w:pPr>
        <w:pStyle w:val="8"/>
        <w:rPr>
          <w:rFonts w:ascii="Times New Roman" w:hAnsi="Times New Roman" w:cs="Times New Roman"/>
          <w:sz w:val="18"/>
          <w:szCs w:val="18"/>
        </w:rPr>
      </w:pPr>
    </w:p>
    <w:p w14:paraId="38EA594C">
      <w:pPr>
        <w:pStyle w:val="8"/>
        <w:rPr>
          <w:rFonts w:ascii="Times New Roman" w:hAnsi="Times New Roman" w:cs="Times New Roman"/>
          <w:sz w:val="18"/>
          <w:szCs w:val="18"/>
        </w:rPr>
      </w:pPr>
    </w:p>
    <w:p w14:paraId="11708244">
      <w:pPr>
        <w:pStyle w:val="8"/>
        <w:rPr>
          <w:rFonts w:ascii="Times New Roman" w:hAnsi="Times New Roman" w:cs="Times New Roman"/>
          <w:sz w:val="18"/>
          <w:szCs w:val="18"/>
        </w:rPr>
      </w:pPr>
    </w:p>
    <w:p w14:paraId="24423363">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1ABA17C9">
      <w:pPr>
        <w:pStyle w:val="8"/>
        <w:spacing w:line="360" w:lineRule="exact"/>
        <w:rPr>
          <w:rFonts w:ascii="Times New Roman" w:hAnsi="Times New Roman" w:cs="Times New Roman"/>
          <w:sz w:val="24"/>
          <w:szCs w:val="24"/>
        </w:rPr>
      </w:pPr>
    </w:p>
    <w:p w14:paraId="702F440C">
      <w:pPr>
        <w:pStyle w:val="8"/>
        <w:spacing w:line="360" w:lineRule="exact"/>
        <w:rPr>
          <w:rFonts w:ascii="Times New Roman" w:hAnsi="Times New Roman" w:cs="Times New Roman"/>
          <w:sz w:val="24"/>
          <w:szCs w:val="24"/>
        </w:rPr>
      </w:pPr>
    </w:p>
    <w:p w14:paraId="60526BE1">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550189C1">
      <w:pPr>
        <w:pStyle w:val="8"/>
        <w:rPr>
          <w:rFonts w:ascii="Times New Roman" w:hAnsi="Times New Roman" w:cs="Times New Roman"/>
          <w:sz w:val="24"/>
          <w:szCs w:val="24"/>
        </w:rPr>
      </w:pPr>
    </w:p>
    <w:p w14:paraId="370E83FC">
      <w:pPr>
        <w:pStyle w:val="8"/>
        <w:ind w:firstLine="960" w:firstLineChars="400"/>
        <w:rPr>
          <w:rFonts w:ascii="Times New Roman" w:hAnsi="Times New Roman" w:cs="Times New Roman"/>
          <w:sz w:val="24"/>
          <w:szCs w:val="24"/>
        </w:rPr>
      </w:pPr>
    </w:p>
    <w:p w14:paraId="42EA3057">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2D4D529F">
      <w:pPr>
        <w:rPr>
          <w:rFonts w:ascii="Times New Roman" w:hAnsi="Times New Roman"/>
          <w:b/>
          <w:sz w:val="18"/>
          <w:szCs w:val="18"/>
        </w:rPr>
      </w:pPr>
      <w:r>
        <w:rPr>
          <w:rFonts w:ascii="Times New Roman" w:hAnsi="Times New Roman"/>
          <w:b/>
          <w:sz w:val="18"/>
          <w:szCs w:val="18"/>
        </w:rPr>
        <w:br w:type="page"/>
      </w:r>
    </w:p>
    <w:p w14:paraId="59674F10">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3D2DAE96">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C8F7A99">
      <w:pPr>
        <w:pStyle w:val="8"/>
        <w:rPr>
          <w:rFonts w:ascii="Times New Roman" w:hAnsi="Times New Roman" w:cs="Times New Roman"/>
          <w:szCs w:val="21"/>
        </w:rPr>
      </w:pPr>
    </w:p>
    <w:p w14:paraId="475F0BB6">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24510D93">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淮河入海水道二期盐城市境内淮阜枢纽交通桥工程施工</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混凝土拌和用黄砂</w:t>
      </w:r>
      <w:r>
        <w:rPr>
          <w:rFonts w:ascii="Times New Roman" w:hAnsi="Times New Roman" w:eastAsiaTheme="minorEastAsia"/>
          <w:sz w:val="24"/>
          <w:szCs w:val="24"/>
        </w:rPr>
        <w:t>招标文件，我方（投标人）完全接受招标文件的要求和买卖合同的全部条款。并致函如下：</w:t>
      </w:r>
    </w:p>
    <w:p w14:paraId="37ECFDBB">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14:paraId="69E1B3D8">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14:paraId="4E164240">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14:paraId="14AAF07A">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14:paraId="10F76F4E">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14:paraId="1B1CB8DF">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14:paraId="6F96BEC8">
      <w:pPr>
        <w:spacing w:line="360" w:lineRule="auto"/>
        <w:ind w:firstLine="480"/>
        <w:rPr>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4F55635C">
      <w:pPr>
        <w:rPr>
          <w:rFonts w:ascii="Times New Roman" w:hAnsi="Times New Roman"/>
          <w:b/>
          <w:sz w:val="18"/>
          <w:szCs w:val="18"/>
        </w:rPr>
      </w:pPr>
      <w:r>
        <w:rPr>
          <w:rFonts w:ascii="Times New Roman" w:hAnsi="Times New Roman"/>
          <w:b/>
          <w:sz w:val="18"/>
          <w:szCs w:val="18"/>
        </w:rPr>
        <w:br w:type="page"/>
      </w:r>
    </w:p>
    <w:p w14:paraId="2925993E">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2F2361EB">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14:paraId="52A74C6E">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14:paraId="772BF086">
      <w:pPr>
        <w:adjustRightInd w:val="0"/>
        <w:snapToGrid w:val="0"/>
        <w:spacing w:line="360" w:lineRule="auto"/>
        <w:ind w:firstLine="480" w:firstLineChars="200"/>
        <w:rPr>
          <w:sz w:val="24"/>
          <w:szCs w:val="22"/>
          <w:lang w:eastAsia="zh-Hans"/>
        </w:rPr>
      </w:pPr>
      <w:r>
        <w:rPr>
          <w:rFonts w:hint="eastAsia"/>
          <w:sz w:val="24"/>
          <w:szCs w:val="24"/>
          <w:lang w:eastAsia="zh-Hans"/>
        </w:rPr>
        <w:t>我单位拟向贵公司供应</w:t>
      </w:r>
      <w:r>
        <w:rPr>
          <w:rFonts w:hint="eastAsia"/>
          <w:b/>
          <w:bCs/>
          <w:color w:val="auto"/>
          <w:sz w:val="24"/>
          <w:szCs w:val="24"/>
          <w:highlight w:val="none"/>
          <w:u w:val="single"/>
          <w:lang w:eastAsia="zh-Hans"/>
        </w:rPr>
        <w:t>淮河入海水道二期</w:t>
      </w:r>
      <w:r>
        <w:rPr>
          <w:rFonts w:hint="eastAsia"/>
          <w:b/>
          <w:bCs/>
          <w:color w:val="auto"/>
          <w:sz w:val="24"/>
          <w:szCs w:val="24"/>
          <w:highlight w:val="none"/>
          <w:u w:val="single"/>
          <w:lang w:eastAsia="zh-CN"/>
        </w:rPr>
        <w:t>盐城市境内淮阜枢纽交通桥工程</w:t>
      </w:r>
      <w:r>
        <w:rPr>
          <w:rFonts w:hint="eastAsia"/>
          <w:sz w:val="24"/>
          <w:szCs w:val="24"/>
          <w:lang w:eastAsia="zh-Hans"/>
        </w:rPr>
        <w:t>所用的</w:t>
      </w:r>
      <w:r>
        <w:rPr>
          <w:rFonts w:hint="eastAsia"/>
          <w:sz w:val="24"/>
          <w:szCs w:val="24"/>
        </w:rPr>
        <w:t>黄砂</w:t>
      </w:r>
      <w:r>
        <w:rPr>
          <w:rFonts w:hint="eastAsia"/>
          <w:sz w:val="24"/>
          <w:szCs w:val="24"/>
          <w:lang w:eastAsia="zh-CN"/>
        </w:rPr>
        <w:t>（</w:t>
      </w:r>
      <w:r>
        <w:rPr>
          <w:rFonts w:hint="eastAsia"/>
          <w:sz w:val="24"/>
          <w:szCs w:val="24"/>
          <w:lang w:val="en-US" w:eastAsia="zh-CN"/>
        </w:rPr>
        <w:t>第</w:t>
      </w:r>
      <w:r>
        <w:rPr>
          <w:rFonts w:hint="default" w:ascii="Times New Roman" w:hAnsi="Times New Roman" w:cs="Times New Roman"/>
          <w:sz w:val="24"/>
          <w:szCs w:val="24"/>
          <w:lang w:val="en-US" w:eastAsia="zh-CN"/>
        </w:rPr>
        <w:t>1</w:t>
      </w:r>
      <w:r>
        <w:rPr>
          <w:rFonts w:hint="eastAsia"/>
          <w:sz w:val="24"/>
          <w:szCs w:val="24"/>
          <w:lang w:val="en-US" w:eastAsia="zh-CN"/>
        </w:rPr>
        <w:t>批</w:t>
      </w:r>
      <w:r>
        <w:rPr>
          <w:rFonts w:hint="eastAsia"/>
          <w:sz w:val="24"/>
          <w:szCs w:val="24"/>
          <w:lang w:eastAsia="zh-CN"/>
        </w:rPr>
        <w:t>）</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639"/>
        <w:gridCol w:w="931"/>
        <w:gridCol w:w="783"/>
        <w:gridCol w:w="864"/>
        <w:gridCol w:w="1064"/>
        <w:gridCol w:w="713"/>
        <w:gridCol w:w="837"/>
        <w:gridCol w:w="1113"/>
        <w:gridCol w:w="852"/>
      </w:tblGrid>
      <w:tr w14:paraId="1348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14:paraId="6BB73957">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1639" w:type="dxa"/>
            <w:vMerge w:val="restart"/>
            <w:vAlign w:val="center"/>
          </w:tcPr>
          <w:p w14:paraId="6F1FB7C3">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规格</w:t>
            </w:r>
          </w:p>
        </w:tc>
        <w:tc>
          <w:tcPr>
            <w:tcW w:w="931" w:type="dxa"/>
            <w:vMerge w:val="restart"/>
            <w:vAlign w:val="center"/>
          </w:tcPr>
          <w:p w14:paraId="2ED9A91B">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14:paraId="7FBE8457">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14:paraId="4AE8041A">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14:paraId="41F23515">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14:paraId="03EB4617">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14:paraId="73ECA390">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14:paraId="584BC8E4">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6E66BD26">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14:paraId="76735157">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113" w:type="dxa"/>
            <w:tcBorders>
              <w:top w:val="single" w:color="auto" w:sz="4" w:space="0"/>
              <w:left w:val="single" w:color="auto" w:sz="4" w:space="0"/>
              <w:right w:val="single" w:color="auto" w:sz="4" w:space="0"/>
            </w:tcBorders>
            <w:vAlign w:val="center"/>
          </w:tcPr>
          <w:p w14:paraId="41045E3B">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852" w:type="dxa"/>
            <w:vMerge w:val="restart"/>
            <w:tcBorders>
              <w:top w:val="single" w:color="auto" w:sz="4" w:space="0"/>
              <w:left w:val="single" w:color="auto" w:sz="4" w:space="0"/>
              <w:right w:val="single" w:color="auto" w:sz="4" w:space="0"/>
            </w:tcBorders>
            <w:vAlign w:val="center"/>
          </w:tcPr>
          <w:p w14:paraId="5F9FDF5D">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最高</w:t>
            </w:r>
            <w:r>
              <w:rPr>
                <w:rFonts w:hint="default" w:ascii="Times New Roman" w:hAnsi="Times New Roman" w:eastAsiaTheme="minorEastAsia"/>
                <w:sz w:val="20"/>
                <w:szCs w:val="20"/>
              </w:rPr>
              <w:t>限价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r>
      <w:tr w14:paraId="34B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14:paraId="6D31ED0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1639" w:type="dxa"/>
            <w:vMerge w:val="continue"/>
            <w:vAlign w:val="center"/>
          </w:tcPr>
          <w:p w14:paraId="2F5EF5DE">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931" w:type="dxa"/>
            <w:vMerge w:val="continue"/>
            <w:vAlign w:val="center"/>
          </w:tcPr>
          <w:p w14:paraId="690B14B2">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783" w:type="dxa"/>
            <w:vAlign w:val="center"/>
          </w:tcPr>
          <w:p w14:paraId="6D76FEC3">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091863D9">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14:paraId="07BB299E">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14:paraId="32384533">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14:paraId="33C39536">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113" w:type="dxa"/>
            <w:vAlign w:val="center"/>
          </w:tcPr>
          <w:p w14:paraId="714010BB">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c>
          <w:tcPr>
            <w:tcW w:w="852" w:type="dxa"/>
            <w:vMerge w:val="continue"/>
            <w:tcBorders>
              <w:left w:val="single" w:color="auto" w:sz="4" w:space="0"/>
              <w:right w:val="single" w:color="auto" w:sz="4" w:space="0"/>
            </w:tcBorders>
            <w:vAlign w:val="center"/>
          </w:tcPr>
          <w:p w14:paraId="41CEC727">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rPr>
            </w:pPr>
          </w:p>
        </w:tc>
      </w:tr>
      <w:tr w14:paraId="069F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14:paraId="016FAB19">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黄砂</w:t>
            </w:r>
          </w:p>
        </w:tc>
        <w:tc>
          <w:tcPr>
            <w:tcW w:w="1639" w:type="dxa"/>
            <w:vAlign w:val="center"/>
          </w:tcPr>
          <w:p w14:paraId="3403839F">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细度模数</w:t>
            </w:r>
            <w:r>
              <w:rPr>
                <w:rFonts w:hint="eastAsia" w:ascii="仿宋" w:hAnsi="仿宋" w:eastAsia="仿宋" w:cs="仿宋"/>
                <w:sz w:val="22"/>
                <w:szCs w:val="22"/>
              </w:rPr>
              <w:t>≥</w:t>
            </w:r>
            <w:r>
              <w:rPr>
                <w:rFonts w:hint="eastAsia" w:ascii="Times New Roman" w:hAnsi="Times New Roman" w:eastAsiaTheme="minorEastAsia"/>
                <w:sz w:val="22"/>
                <w:szCs w:val="22"/>
              </w:rPr>
              <w:t>2.3</w:t>
            </w:r>
          </w:p>
        </w:tc>
        <w:tc>
          <w:tcPr>
            <w:tcW w:w="931" w:type="dxa"/>
            <w:vAlign w:val="center"/>
          </w:tcPr>
          <w:p w14:paraId="05DD44AE">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sz w:val="20"/>
                <w:szCs w:val="20"/>
              </w:rPr>
              <w:t>汨罗江</w:t>
            </w:r>
          </w:p>
        </w:tc>
        <w:tc>
          <w:tcPr>
            <w:tcW w:w="783" w:type="dxa"/>
            <w:vAlign w:val="center"/>
          </w:tcPr>
          <w:p w14:paraId="6D1AC1D3">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lang w:val="en-US" w:eastAsia="zh-CN"/>
              </w:rPr>
              <w:t>16</w:t>
            </w:r>
            <w:r>
              <w:rPr>
                <w:rFonts w:hint="eastAsia" w:ascii="Times New Roman" w:hAnsi="Times New Roman" w:eastAsiaTheme="minorEastAsia"/>
                <w:sz w:val="22"/>
                <w:szCs w:val="22"/>
              </w:rPr>
              <w:t>000</w:t>
            </w:r>
          </w:p>
        </w:tc>
        <w:tc>
          <w:tcPr>
            <w:tcW w:w="864" w:type="dxa"/>
            <w:vAlign w:val="center"/>
          </w:tcPr>
          <w:p w14:paraId="368AB107">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064" w:type="dxa"/>
            <w:vAlign w:val="center"/>
          </w:tcPr>
          <w:p w14:paraId="01B63509">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713" w:type="dxa"/>
            <w:vAlign w:val="center"/>
          </w:tcPr>
          <w:p w14:paraId="461D456E">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837" w:type="dxa"/>
            <w:vAlign w:val="center"/>
          </w:tcPr>
          <w:p w14:paraId="6BFD586A">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113" w:type="dxa"/>
            <w:vAlign w:val="center"/>
          </w:tcPr>
          <w:p w14:paraId="7135C7FA">
            <w:pPr>
              <w:keepNext w:val="0"/>
              <w:keepLines w:val="0"/>
              <w:suppressLineNumbers w:val="0"/>
              <w:spacing w:before="0" w:beforeAutospacing="0" w:after="0" w:afterAutospacing="0" w:line="360" w:lineRule="auto"/>
              <w:ind w:left="0" w:right="0"/>
              <w:jc w:val="center"/>
              <w:rPr>
                <w:rFonts w:hint="default" w:ascii="Times New Roman" w:hAnsi="Times New Roman" w:eastAsiaTheme="minorEastAsia"/>
                <w:sz w:val="20"/>
                <w:szCs w:val="20"/>
              </w:rPr>
            </w:pPr>
          </w:p>
        </w:tc>
        <w:tc>
          <w:tcPr>
            <w:tcW w:w="852" w:type="dxa"/>
            <w:vAlign w:val="center"/>
          </w:tcPr>
          <w:p w14:paraId="3745AA32">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123</w:t>
            </w:r>
          </w:p>
        </w:tc>
      </w:tr>
    </w:tbl>
    <w:p w14:paraId="20DDA83A">
      <w:pPr>
        <w:adjustRightInd w:val="0"/>
        <w:snapToGrid w:val="0"/>
        <w:spacing w:line="360" w:lineRule="auto"/>
        <w:ind w:firstLine="480" w:firstLineChars="200"/>
        <w:rPr>
          <w:rFonts w:hint="default" w:ascii="Times New Roman" w:hAnsi="Times New Roman" w:cs="Times New Roman"/>
          <w:sz w:val="24"/>
          <w:szCs w:val="24"/>
        </w:rPr>
      </w:pPr>
      <w:r>
        <w:rPr>
          <w:rFonts w:hint="eastAsia"/>
          <w:sz w:val="24"/>
          <w:szCs w:val="24"/>
        </w:rPr>
        <w:t>注：</w:t>
      </w:r>
      <w:r>
        <w:rPr>
          <w:rFonts w:hint="default" w:ascii="Times New Roman" w:hAnsi="Times New Roman" w:cs="Times New Roman"/>
          <w:b/>
          <w:bCs/>
          <w:sz w:val="24"/>
          <w:szCs w:val="24"/>
        </w:rPr>
        <w:t>上述最高限价123元/吨中含税率为13%的增值税，不含增值税的限价单价为108.85元/吨，超过限价的投标为无效标。</w:t>
      </w:r>
    </w:p>
    <w:p w14:paraId="728B7F20">
      <w:pPr>
        <w:adjustRightInd w:val="0"/>
        <w:snapToGrid w:val="0"/>
        <w:spacing w:line="360" w:lineRule="auto"/>
        <w:ind w:firstLine="480" w:firstLineChars="200"/>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color w:val="FF0000"/>
          <w:sz w:val="24"/>
          <w:szCs w:val="24"/>
          <w:lang w:eastAsia="zh-Hans"/>
        </w:rPr>
        <w:t>、</w:t>
      </w:r>
      <w:r>
        <w:rPr>
          <w:rFonts w:hint="eastAsia" w:ascii="宋体" w:hAnsi="宋体" w:cs="宋体"/>
          <w:sz w:val="24"/>
          <w:szCs w:val="24"/>
        </w:rPr>
        <w:t>投标价格为我方送货到贵公司工地指定地点</w:t>
      </w:r>
      <w:r>
        <w:rPr>
          <w:rFonts w:hint="default" w:ascii="Times New Roman" w:hAnsi="Times New Roman" w:cs="Times New Roman"/>
          <w:color w:val="auto"/>
          <w:sz w:val="24"/>
          <w:szCs w:val="24"/>
          <w:highlight w:val="none"/>
          <w:lang w:val="en-US" w:eastAsia="zh-CN"/>
        </w:rPr>
        <w:t>（阜宁金山混凝土有限公司南侧江苏水建搅拌站</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料仓）</w:t>
      </w:r>
      <w:r>
        <w:rPr>
          <w:rFonts w:hint="eastAsia" w:ascii="宋体" w:hAnsi="宋体" w:cs="宋体"/>
          <w:sz w:val="24"/>
          <w:szCs w:val="24"/>
        </w:rPr>
        <w:t>并配合卸货后的价格，报价中均包含</w:t>
      </w:r>
      <w:r>
        <w:rPr>
          <w:rFonts w:hint="eastAsia" w:ascii="宋体" w:hAnsi="宋体" w:cs="宋体"/>
          <w:sz w:val="24"/>
          <w:szCs w:val="24"/>
          <w:lang w:val="en-US" w:eastAsia="zh-CN"/>
        </w:rPr>
        <w:t>但不限于</w:t>
      </w:r>
      <w:r>
        <w:rPr>
          <w:rFonts w:hint="eastAsia" w:ascii="宋体" w:hAnsi="宋体" w:eastAsia="宋体" w:cs="宋体"/>
          <w:b w:val="0"/>
          <w:bCs w:val="0"/>
          <w:color w:val="auto"/>
          <w:sz w:val="24"/>
          <w:szCs w:val="24"/>
        </w:rPr>
        <w:t>货款、</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sz w:val="24"/>
          <w:szCs w:val="24"/>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票（税金由我方承担，包含在黄砂价格中），我方不以任何理由额外索取任何费用。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14:paraId="6C98E875">
      <w:pPr>
        <w:adjustRightInd w:val="0"/>
        <w:snapToGrid w:val="0"/>
        <w:spacing w:line="360" w:lineRule="auto"/>
        <w:ind w:firstLine="480" w:firstLineChars="200"/>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贵公司招标文件的</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14:paraId="02ECCBAB">
      <w:pPr>
        <w:shd w:val="clear" w:color="auto" w:fill="FFFFFF"/>
        <w:spacing w:line="360" w:lineRule="auto"/>
        <w:ind w:firstLine="571" w:firstLineChars="238"/>
        <w:rPr>
          <w:rFonts w:ascii="Times New Roman" w:hAnsi="Times New Roman"/>
          <w:sz w:val="24"/>
          <w:szCs w:val="24"/>
        </w:rPr>
      </w:pPr>
      <w:r>
        <w:rPr>
          <w:rFonts w:ascii="Times New Roman" w:hAnsi="Times New Roman" w:eastAsiaTheme="minorEastAsia"/>
          <w:sz w:val="24"/>
          <w:szCs w:val="24"/>
        </w:rPr>
        <w:t>3、我方承诺：</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ascii="Times New Roman" w:hAnsi="Times New Roman"/>
          <w:sz w:val="24"/>
          <w:szCs w:val="24"/>
          <w:lang w:eastAsia="zh-Hans"/>
        </w:rPr>
        <w:t>含泥量标准为</w:t>
      </w:r>
      <w:r>
        <w:rPr>
          <w:rFonts w:ascii="仿宋" w:hAnsi="仿宋" w:eastAsia="仿宋" w:cs="仿宋"/>
          <w:sz w:val="24"/>
          <w:szCs w:val="24"/>
          <w:lang w:eastAsia="zh-Hans"/>
        </w:rPr>
        <w:t>≤</w:t>
      </w:r>
      <w:r>
        <w:rPr>
          <w:rFonts w:ascii="Times New Roman" w:hAnsi="Times New Roman"/>
          <w:sz w:val="24"/>
          <w:szCs w:val="24"/>
          <w:lang w:eastAsia="zh-Hans"/>
        </w:rPr>
        <w:t>3.0%、泥块含泥量</w:t>
      </w:r>
      <w:r>
        <w:rPr>
          <w:rFonts w:ascii="Times New Roman" w:hAnsi="Times New Roman"/>
          <w:sz w:val="24"/>
          <w:szCs w:val="24"/>
        </w:rPr>
        <w:t>为0、表观密度</w:t>
      </w:r>
      <w:r>
        <w:rPr>
          <w:rFonts w:ascii="仿宋" w:hAnsi="仿宋" w:eastAsia="仿宋" w:cs="仿宋"/>
          <w:sz w:val="24"/>
          <w:szCs w:val="24"/>
        </w:rPr>
        <w:t>＞</w:t>
      </w:r>
      <w:r>
        <w:rPr>
          <w:rFonts w:ascii="Times New Roman" w:hAnsi="Times New Roman"/>
          <w:sz w:val="24"/>
          <w:szCs w:val="24"/>
        </w:rPr>
        <w:t>2500(kg/m</w:t>
      </w:r>
      <w:r>
        <w:rPr>
          <w:rFonts w:ascii="Times New Roman" w:hAnsi="Times New Roman"/>
          <w:sz w:val="24"/>
          <w:szCs w:val="24"/>
          <w:vertAlign w:val="superscript"/>
        </w:rPr>
        <w:t>3</w:t>
      </w:r>
      <w:r>
        <w:rPr>
          <w:rFonts w:ascii="Times New Roman" w:hAnsi="Times New Roman"/>
          <w:sz w:val="24"/>
          <w:szCs w:val="24"/>
        </w:rPr>
        <w:t>)、云母含量</w:t>
      </w:r>
      <w:r>
        <w:rPr>
          <w:rFonts w:hint="eastAsia" w:ascii="仿宋" w:hAnsi="仿宋" w:eastAsia="仿宋" w:cs="仿宋"/>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仿宋" w:hAnsi="仿宋" w:eastAsia="仿宋" w:cs="仿宋"/>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14:paraId="411AB7D5">
      <w:pPr>
        <w:shd w:val="clear" w:color="auto" w:fill="FFFFFF"/>
        <w:spacing w:line="360" w:lineRule="auto"/>
        <w:ind w:firstLine="542" w:firstLineChars="238"/>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14:paraId="390B2C70">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14:paraId="7CB49827">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14:paraId="373E1DB5">
      <w:pPr>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14:paraId="6506873D">
      <w:pPr>
        <w:pStyle w:val="2"/>
        <w:spacing w:before="0" w:line="360" w:lineRule="auto"/>
        <w:rPr>
          <w:rFonts w:ascii="Times New Roman" w:hAnsi="Times New Roman" w:eastAsiaTheme="minorEastAsia"/>
        </w:rPr>
      </w:pPr>
    </w:p>
    <w:p w14:paraId="467F0ADF">
      <w:pPr>
        <w:spacing w:line="360" w:lineRule="auto"/>
        <w:rPr>
          <w:rFonts w:ascii="Times New Roman" w:hAnsi="Times New Roman" w:eastAsiaTheme="minorEastAsia"/>
          <w:sz w:val="24"/>
          <w:szCs w:val="24"/>
        </w:rPr>
      </w:pPr>
    </w:p>
    <w:p w14:paraId="12D0F371">
      <w:pPr>
        <w:adjustRightInd w:val="0"/>
        <w:snapToGrid w:val="0"/>
        <w:spacing w:line="360"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69A92AA2">
      <w:pPr>
        <w:adjustRightInd w:val="0"/>
        <w:snapToGrid w:val="0"/>
        <w:spacing w:line="360"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日  期：   年   月   日</w:t>
      </w:r>
    </w:p>
    <w:p w14:paraId="0DBBA577">
      <w:pPr>
        <w:rPr>
          <w:rFonts w:ascii="Times New Roman" w:hAnsi="Times New Roman" w:eastAsiaTheme="minorEastAsia"/>
          <w:sz w:val="24"/>
          <w:szCs w:val="24"/>
        </w:rPr>
      </w:pPr>
      <w:r>
        <w:rPr>
          <w:rFonts w:ascii="Times New Roman" w:hAnsi="Times New Roman" w:eastAsiaTheme="minorEastAsia"/>
          <w:sz w:val="24"/>
          <w:szCs w:val="24"/>
        </w:rPr>
        <w:br w:type="page"/>
      </w:r>
    </w:p>
    <w:p w14:paraId="33243DAC">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105EB000">
      <w:pPr>
        <w:adjustRightInd w:val="0"/>
        <w:snapToGrid w:val="0"/>
        <w:spacing w:line="276" w:lineRule="auto"/>
        <w:rPr>
          <w:rFonts w:ascii="Times New Roman" w:hAnsi="Times New Roman"/>
          <w:sz w:val="18"/>
          <w:szCs w:val="18"/>
        </w:rPr>
      </w:pPr>
    </w:p>
    <w:p w14:paraId="1B92B28A">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65D816FF">
      <w:pPr>
        <w:pStyle w:val="8"/>
        <w:adjustRightInd w:val="0"/>
        <w:snapToGrid w:val="0"/>
        <w:ind w:firstLine="360" w:firstLineChars="200"/>
        <w:rPr>
          <w:rFonts w:ascii="Times New Roman" w:hAnsi="Times New Roman" w:cs="Times New Roman"/>
          <w:sz w:val="18"/>
          <w:szCs w:val="18"/>
        </w:rPr>
      </w:pPr>
    </w:p>
    <w:p w14:paraId="2DF71DB0">
      <w:pPr>
        <w:pStyle w:val="8"/>
        <w:adjustRightInd w:val="0"/>
        <w:snapToGrid w:val="0"/>
        <w:spacing w:line="360" w:lineRule="auto"/>
        <w:rPr>
          <w:rFonts w:ascii="Times New Roman" w:hAnsi="Times New Roman"/>
          <w:b/>
          <w:bCs/>
          <w:sz w:val="28"/>
          <w:szCs w:val="28"/>
        </w:rPr>
      </w:pPr>
    </w:p>
    <w:p w14:paraId="7C3AB5BC">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735AF477">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03616D2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BA4FE48">
      <w:pPr>
        <w:pStyle w:val="8"/>
        <w:adjustRightInd w:val="0"/>
        <w:snapToGrid w:val="0"/>
        <w:ind w:firstLine="560" w:firstLineChars="200"/>
        <w:rPr>
          <w:rFonts w:ascii="Times New Roman" w:hAnsi="Times New Roman" w:cs="Times New Roman"/>
          <w:sz w:val="28"/>
          <w:szCs w:val="28"/>
        </w:rPr>
      </w:pPr>
    </w:p>
    <w:p w14:paraId="13BBE1D5">
      <w:pPr>
        <w:pStyle w:val="8"/>
        <w:adjustRightInd w:val="0"/>
        <w:snapToGrid w:val="0"/>
        <w:ind w:firstLine="560" w:firstLineChars="200"/>
        <w:rPr>
          <w:rFonts w:ascii="Times New Roman" w:hAnsi="Times New Roman" w:cs="Times New Roman"/>
          <w:sz w:val="28"/>
          <w:szCs w:val="28"/>
        </w:rPr>
      </w:pPr>
    </w:p>
    <w:p w14:paraId="29D35B68">
      <w:pPr>
        <w:pStyle w:val="8"/>
        <w:adjustRightInd w:val="0"/>
        <w:snapToGrid w:val="0"/>
        <w:ind w:firstLine="560" w:firstLineChars="200"/>
        <w:rPr>
          <w:rFonts w:ascii="Times New Roman" w:hAnsi="Times New Roman" w:cs="Times New Roman"/>
          <w:sz w:val="28"/>
          <w:szCs w:val="28"/>
        </w:rPr>
      </w:pPr>
    </w:p>
    <w:p w14:paraId="2C667302">
      <w:pPr>
        <w:pStyle w:val="8"/>
        <w:adjustRightInd w:val="0"/>
        <w:snapToGrid w:val="0"/>
        <w:ind w:firstLine="560" w:firstLineChars="200"/>
        <w:rPr>
          <w:rFonts w:ascii="Times New Roman" w:hAnsi="Times New Roman" w:cs="Times New Roman"/>
          <w:sz w:val="28"/>
          <w:szCs w:val="28"/>
        </w:rPr>
      </w:pPr>
    </w:p>
    <w:p w14:paraId="7156DF7A">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2CC83DAA">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18F25D6E">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24F7010E">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32F0437D">
      <w:pPr>
        <w:pStyle w:val="8"/>
        <w:rPr>
          <w:rFonts w:ascii="Times New Roman" w:hAnsi="Times New Roman" w:cs="Times New Roman"/>
          <w:sz w:val="24"/>
          <w:szCs w:val="24"/>
        </w:rPr>
      </w:pPr>
    </w:p>
    <w:p w14:paraId="22184278">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14:paraId="00AF9D1C">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6C2AF191">
      <w:pPr>
        <w:adjustRightInd w:val="0"/>
        <w:snapToGrid w:val="0"/>
        <w:spacing w:line="360" w:lineRule="auto"/>
        <w:ind w:firstLine="118" w:firstLineChars="49"/>
        <w:rPr>
          <w:rFonts w:ascii="Times New Roman" w:hAnsi="Times New Roman"/>
          <w:b/>
          <w:bCs/>
          <w:sz w:val="24"/>
          <w:szCs w:val="24"/>
          <w:u w:val="single"/>
        </w:rPr>
      </w:pPr>
    </w:p>
    <w:p w14:paraId="468242EF">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0E4EA890">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淮河入海水道二期盐城市境内淮阜枢纽交通桥工程施工</w:t>
      </w:r>
      <w:r>
        <w:rPr>
          <w:rFonts w:ascii="Times New Roman" w:hAnsi="Times New Roman"/>
          <w:sz w:val="24"/>
          <w:szCs w:val="24"/>
          <w:u w:val="none"/>
        </w:rPr>
        <w:t>项目经理部</w:t>
      </w:r>
      <w:r>
        <w:rPr>
          <w:rFonts w:ascii="Times New Roman" w:hAnsi="Times New Roman"/>
          <w:b/>
          <w:bCs/>
          <w:sz w:val="24"/>
          <w:szCs w:val="24"/>
          <w:u w:val="single"/>
        </w:rPr>
        <w:t>混凝土拌和用黄砂</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第1批</w:t>
      </w:r>
      <w:r>
        <w:rPr>
          <w:rFonts w:hint="eastAsia" w:ascii="Times New Roman" w:hAnsi="Times New Roman"/>
          <w:b/>
          <w:bCs/>
          <w:sz w:val="24"/>
          <w:szCs w:val="24"/>
          <w:u w:val="single"/>
          <w:lang w:eastAsia="zh-CN"/>
        </w:rPr>
        <w:t>）</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14:paraId="7AA558B4">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3448DAA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69F98D89">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25B7C28C">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5AF3F6A">
      <w:pPr>
        <w:pStyle w:val="2"/>
      </w:pPr>
    </w:p>
    <w:p w14:paraId="7F209514">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20041CB9">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58CEB3CE">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0CD4D46F">
      <w:pPr>
        <w:pStyle w:val="2"/>
      </w:pPr>
    </w:p>
    <w:p w14:paraId="5BE65DB2">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2FA5586C">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753DEA24">
      <w:pPr>
        <w:adjustRightInd w:val="0"/>
        <w:snapToGrid w:val="0"/>
        <w:ind w:firstLine="360" w:firstLineChars="200"/>
        <w:rPr>
          <w:rFonts w:ascii="Times New Roman" w:hAnsi="Times New Roman"/>
          <w:sz w:val="18"/>
          <w:szCs w:val="18"/>
        </w:rPr>
      </w:pPr>
    </w:p>
    <w:p w14:paraId="634C6F25">
      <w:pPr>
        <w:pStyle w:val="2"/>
        <w:rPr>
          <w:rFonts w:ascii="Times New Roman" w:hAnsi="Times New Roman"/>
          <w:sz w:val="18"/>
          <w:szCs w:val="18"/>
        </w:rPr>
      </w:pPr>
    </w:p>
    <w:p w14:paraId="13D1E3D7">
      <w:pPr>
        <w:rPr>
          <w:rFonts w:ascii="Times New Roman" w:hAnsi="Times New Roman"/>
          <w:b/>
          <w:sz w:val="18"/>
          <w:szCs w:val="18"/>
        </w:rPr>
      </w:pPr>
      <w:r>
        <w:rPr>
          <w:rFonts w:ascii="Times New Roman" w:hAnsi="Times New Roman"/>
          <w:b/>
          <w:sz w:val="18"/>
          <w:szCs w:val="18"/>
        </w:rPr>
        <w:br w:type="page"/>
      </w:r>
    </w:p>
    <w:p w14:paraId="363981C9">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14:paraId="579DE0A3">
      <w:pPr>
        <w:rPr>
          <w:rFonts w:ascii="Times New Roman" w:hAnsi="Times New Roman"/>
          <w:b/>
          <w:color w:val="auto"/>
          <w:sz w:val="18"/>
          <w:szCs w:val="18"/>
          <w:highlight w:val="none"/>
        </w:rPr>
      </w:pPr>
    </w:p>
    <w:p w14:paraId="65BD7589">
      <w:pPr>
        <w:rPr>
          <w:rFonts w:ascii="Times New Roman" w:hAnsi="Times New Roman"/>
          <w:b/>
          <w:color w:val="auto"/>
          <w:sz w:val="18"/>
          <w:szCs w:val="18"/>
          <w:highlight w:val="none"/>
        </w:rPr>
      </w:pPr>
    </w:p>
    <w:p w14:paraId="4B038CC1">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的检测报告等相关资料</w:t>
      </w:r>
    </w:p>
    <w:p w14:paraId="22166B02">
      <w:pPr>
        <w:rPr>
          <w:rFonts w:ascii="Times New Roman" w:hAnsi="Times New Roman"/>
          <w:b/>
          <w:color w:val="auto"/>
          <w:sz w:val="18"/>
          <w:szCs w:val="18"/>
          <w:highlight w:val="none"/>
        </w:rPr>
      </w:pPr>
    </w:p>
    <w:p w14:paraId="79EFD53A">
      <w:pPr>
        <w:rPr>
          <w:rFonts w:ascii="Times New Roman" w:hAnsi="Times New Roman"/>
          <w:b/>
          <w:color w:val="auto"/>
          <w:sz w:val="18"/>
          <w:szCs w:val="18"/>
          <w:highlight w:val="none"/>
        </w:rPr>
      </w:pPr>
    </w:p>
    <w:p w14:paraId="62A77D2C">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14:paraId="74813BC0">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14:paraId="27C5BF48">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采购合同</w:t>
      </w:r>
    </w:p>
    <w:p w14:paraId="31518F8C">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混凝土拌和用黄砂采购</w:t>
      </w:r>
      <w:r>
        <w:rPr>
          <w:rFonts w:ascii="Times New Roman" w:hAnsi="Times New Roman"/>
          <w:b/>
          <w:color w:val="auto"/>
          <w:sz w:val="32"/>
          <w:szCs w:val="32"/>
          <w:highlight w:val="none"/>
        </w:rPr>
        <w:t>合同</w:t>
      </w:r>
    </w:p>
    <w:p w14:paraId="1FBFEFBB">
      <w:pPr>
        <w:spacing w:line="360" w:lineRule="auto"/>
        <w:ind w:left="641" w:leftChars="-9" w:hanging="660" w:hangingChars="275"/>
        <w:rPr>
          <w:rFonts w:hint="default" w:ascii="Times New Roman" w:hAnsi="Times New Roman" w:eastAsia="宋体" w:cs="Times New Roman"/>
          <w:sz w:val="24"/>
          <w:szCs w:val="24"/>
        </w:rPr>
      </w:pPr>
    </w:p>
    <w:p w14:paraId="08F9EE51">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江苏省水利建设工程有限公司淮河入海水道二期盐城市境内淮阜枢纽交通桥工程施工</w:t>
      </w:r>
      <w:r>
        <w:rPr>
          <w:rFonts w:hint="default" w:ascii="Times New Roman" w:hAnsi="Times New Roman" w:eastAsia="宋体" w:cs="Times New Roman"/>
          <w:sz w:val="24"/>
          <w:szCs w:val="24"/>
        </w:rPr>
        <w:t>项目经理部（以下简称甲方）</w:t>
      </w:r>
    </w:p>
    <w:p w14:paraId="16F757EE">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6" w:name="_Hlk148377911"/>
      <w:r>
        <w:rPr>
          <w:rFonts w:hint="default" w:ascii="Times New Roman" w:hAnsi="Times New Roman" w:eastAsia="宋体" w:cs="Times New Roman"/>
          <w:b/>
          <w:sz w:val="24"/>
          <w:szCs w:val="24"/>
        </w:rPr>
        <w:t>（注意：应填写对方营业执照上注册的全称）</w:t>
      </w:r>
      <w:bookmarkEnd w:id="6"/>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14:paraId="3C30F2BD">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14:paraId="77879854">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default" w:ascii="Times New Roman" w:hAnsi="Times New Roman" w:eastAsia="宋体" w:cs="Times New Roman"/>
          <w:b/>
          <w:sz w:val="24"/>
          <w:szCs w:val="24"/>
        </w:rPr>
        <w:t>黄砂供应工程概况：</w:t>
      </w:r>
    </w:p>
    <w:p w14:paraId="020A3054">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淮河入海水道二期滨海枢纽工程土建施工及设备安装</w:t>
      </w:r>
      <w:r>
        <w:rPr>
          <w:rFonts w:hint="eastAsia" w:ascii="Times New Roman" w:hAnsi="Times New Roman" w:eastAsia="宋体" w:cs="Times New Roman"/>
          <w:b/>
          <w:bCs/>
          <w:sz w:val="24"/>
          <w:szCs w:val="24"/>
          <w:u w:val="single"/>
          <w:lang w:val="en-US" w:eastAsia="zh-CN"/>
        </w:rPr>
        <w:t>工程</w:t>
      </w:r>
    </w:p>
    <w:p w14:paraId="2C95C3E8">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2、供货期限：202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年</w:t>
      </w:r>
      <w:r>
        <w:rPr>
          <w:rFonts w:hint="eastAsia" w:cs="Times New Roman"/>
          <w:sz w:val="24"/>
          <w:szCs w:val="24"/>
          <w:lang w:val="en-US" w:eastAsia="zh-CN"/>
        </w:rPr>
        <w:t>6</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8</w:t>
      </w:r>
      <w:r>
        <w:rPr>
          <w:rFonts w:hint="default" w:ascii="Times New Roman" w:hAnsi="Times New Roman" w:eastAsia="宋体" w:cs="Times New Roman"/>
          <w:sz w:val="24"/>
          <w:szCs w:val="24"/>
        </w:rPr>
        <w:t>日至202</w:t>
      </w:r>
      <w:r>
        <w:rPr>
          <w:rFonts w:hint="eastAsia" w:cs="Times New Roman"/>
          <w:sz w:val="24"/>
          <w:szCs w:val="24"/>
          <w:lang w:val="en-US" w:eastAsia="zh-CN"/>
        </w:rPr>
        <w:t>7</w:t>
      </w:r>
      <w:r>
        <w:rPr>
          <w:rFonts w:hint="default" w:ascii="Times New Roman" w:hAnsi="Times New Roman" w:eastAsia="宋体" w:cs="Times New Roman"/>
          <w:sz w:val="24"/>
          <w:szCs w:val="24"/>
        </w:rPr>
        <w:t>年</w:t>
      </w:r>
      <w:r>
        <w:rPr>
          <w:rFonts w:hint="eastAsia" w:cs="Times New Roman"/>
          <w:sz w:val="24"/>
          <w:szCs w:val="24"/>
          <w:lang w:val="en-US" w:eastAsia="zh-CN"/>
        </w:rPr>
        <w:t>2</w:t>
      </w:r>
      <w:r>
        <w:rPr>
          <w:rFonts w:hint="default" w:ascii="Times New Roman" w:hAnsi="Times New Roman" w:eastAsia="宋体" w:cs="Times New Roman"/>
          <w:sz w:val="24"/>
          <w:szCs w:val="24"/>
        </w:rPr>
        <w:t>月</w:t>
      </w:r>
      <w:r>
        <w:rPr>
          <w:rFonts w:hint="eastAsia" w:cs="Times New Roman"/>
          <w:sz w:val="24"/>
          <w:szCs w:val="24"/>
          <w:lang w:val="en-US" w:eastAsia="zh-CN"/>
        </w:rPr>
        <w:t>20</w:t>
      </w:r>
      <w:r>
        <w:rPr>
          <w:rFonts w:hint="default" w:ascii="Times New Roman" w:hAnsi="Times New Roman" w:eastAsia="宋体" w:cs="Times New Roman"/>
          <w:sz w:val="24"/>
          <w:szCs w:val="24"/>
        </w:rPr>
        <w:t>日供应，具体供货开始和结束期限以项目部根据工期计划提前10天出具的“订货通知单”通知为准。</w:t>
      </w:r>
    </w:p>
    <w:p w14:paraId="46B102AA">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single"/>
        </w:rPr>
        <w:t>江苏省水利建设工程有限公司淮河入海水道二期盐城市境内淮阜枢纽交通桥工程施工（阜宁金山混凝土有限公司南侧江苏水建搅拌站黄砂料仓）</w:t>
      </w:r>
      <w:r>
        <w:rPr>
          <w:rFonts w:hint="default" w:ascii="Times New Roman" w:hAnsi="Times New Roman" w:eastAsia="宋体" w:cs="Times New Roman"/>
          <w:b w:val="0"/>
          <w:bCs w:val="0"/>
          <w:sz w:val="24"/>
          <w:szCs w:val="24"/>
          <w:u w:val="none"/>
        </w:rPr>
        <w:t>。</w:t>
      </w:r>
    </w:p>
    <w:p w14:paraId="54DCCA2A">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b/>
          <w:sz w:val="24"/>
          <w:szCs w:val="24"/>
        </w:rPr>
        <w:t>黄砂供应要求：</w:t>
      </w:r>
    </w:p>
    <w:p w14:paraId="3BECA475">
      <w:pPr>
        <w:pStyle w:val="19"/>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1、甲方向乙方采购的黄砂具体品种、规格、数量及产地如下：</w:t>
      </w:r>
    </w:p>
    <w:tbl>
      <w:tblPr>
        <w:tblStyle w:val="12"/>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14:paraId="659F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14:paraId="3927A784">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14:paraId="30882930">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90" w:type="dxa"/>
            <w:vAlign w:val="center"/>
          </w:tcPr>
          <w:p w14:paraId="3F2F8E0A">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54" w:type="dxa"/>
            <w:tcBorders>
              <w:top w:val="single" w:color="auto" w:sz="4" w:space="0"/>
              <w:left w:val="single" w:color="auto" w:sz="4" w:space="0"/>
              <w:right w:val="single" w:color="auto" w:sz="4" w:space="0"/>
            </w:tcBorders>
            <w:vAlign w:val="center"/>
          </w:tcPr>
          <w:p w14:paraId="6A574DFD">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28002D1A">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57F1E43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14:paraId="5DAFB9A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14:paraId="07D7D8CF">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14:paraId="2648B62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14:paraId="25F6EA8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14:paraId="34F3FDE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9" w:type="dxa"/>
            <w:tcBorders>
              <w:top w:val="single" w:color="auto" w:sz="4" w:space="0"/>
              <w:left w:val="single" w:color="auto" w:sz="4" w:space="0"/>
              <w:right w:val="single" w:color="auto" w:sz="4" w:space="0"/>
            </w:tcBorders>
            <w:vAlign w:val="center"/>
          </w:tcPr>
          <w:p w14:paraId="43420937">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14:paraId="2E21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03CB5721">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黄砂</w:t>
            </w:r>
          </w:p>
        </w:tc>
        <w:tc>
          <w:tcPr>
            <w:tcW w:w="1568" w:type="dxa"/>
            <w:vAlign w:val="center"/>
          </w:tcPr>
          <w:p w14:paraId="0FCE569F">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细度模数</w:t>
            </w:r>
            <w:r>
              <w:rPr>
                <w:rFonts w:hint="eastAsia" w:ascii="宋体" w:hAnsi="宋体" w:eastAsia="宋体" w:cs="宋体"/>
                <w:sz w:val="24"/>
                <w:szCs w:val="24"/>
              </w:rPr>
              <w:t>≥</w:t>
            </w:r>
            <w:r>
              <w:rPr>
                <w:rFonts w:hint="default" w:ascii="Times New Roman" w:hAnsi="Times New Roman" w:eastAsia="宋体" w:cs="Times New Roman"/>
                <w:sz w:val="24"/>
                <w:szCs w:val="24"/>
              </w:rPr>
              <w:t>2.3</w:t>
            </w:r>
          </w:p>
        </w:tc>
        <w:tc>
          <w:tcPr>
            <w:tcW w:w="890" w:type="dxa"/>
            <w:vAlign w:val="center"/>
          </w:tcPr>
          <w:p w14:paraId="4FEAA74B">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eastAsiaTheme="minorEastAsia"/>
                <w:sz w:val="24"/>
                <w:szCs w:val="24"/>
              </w:rPr>
              <w:t>汨罗</w:t>
            </w:r>
            <w:r>
              <w:rPr>
                <w:rFonts w:hint="eastAsia" w:ascii="Times New Roman" w:hAnsi="Times New Roman" w:eastAsiaTheme="minorEastAsia"/>
                <w:sz w:val="24"/>
                <w:szCs w:val="24"/>
                <w:lang w:val="en-US" w:eastAsia="zh-CN"/>
              </w:rPr>
              <w:t>江</w:t>
            </w:r>
          </w:p>
        </w:tc>
        <w:tc>
          <w:tcPr>
            <w:tcW w:w="854" w:type="dxa"/>
            <w:vAlign w:val="center"/>
          </w:tcPr>
          <w:p w14:paraId="7F3C88B0">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000</w:t>
            </w:r>
          </w:p>
        </w:tc>
        <w:tc>
          <w:tcPr>
            <w:tcW w:w="1046" w:type="dxa"/>
            <w:vAlign w:val="center"/>
          </w:tcPr>
          <w:p w14:paraId="3EE7D3D0">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67" w:type="dxa"/>
            <w:vAlign w:val="center"/>
          </w:tcPr>
          <w:p w14:paraId="1A4DBA5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93" w:type="dxa"/>
            <w:vAlign w:val="center"/>
          </w:tcPr>
          <w:p w14:paraId="7C61F743">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14:paraId="172198E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14:paraId="125252CA">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14:paraId="558D1C8B">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承担，包含在黄砂价格中），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14:paraId="7686094A">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甲方采购的黄砂</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14:paraId="19ADF7B5">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42D3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14:paraId="1B524C7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14:paraId="2CC0850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14:paraId="5448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301AD71">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甲方：江苏省水利建设工程有限公司盐城市阜宁县分公司</w:t>
            </w:r>
          </w:p>
        </w:tc>
        <w:tc>
          <w:tcPr>
            <w:tcW w:w="4805" w:type="dxa"/>
            <w:shd w:val="clear" w:color="auto" w:fill="auto"/>
            <w:vAlign w:val="center"/>
          </w:tcPr>
          <w:p w14:paraId="76DEF6AC">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14:paraId="11D4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FAA2A43">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纳税人识别号：91320923MAC9CMC33J</w:t>
            </w:r>
          </w:p>
        </w:tc>
        <w:tc>
          <w:tcPr>
            <w:tcW w:w="4805" w:type="dxa"/>
            <w:shd w:val="clear" w:color="auto" w:fill="auto"/>
            <w:vAlign w:val="center"/>
          </w:tcPr>
          <w:p w14:paraId="37AD066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14:paraId="26F8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96D240A">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地址：阜宁县羊寨镇永昌村八组13号</w:t>
            </w:r>
          </w:p>
        </w:tc>
        <w:tc>
          <w:tcPr>
            <w:tcW w:w="4805" w:type="dxa"/>
            <w:shd w:val="clear" w:color="auto" w:fill="auto"/>
            <w:vAlign w:val="center"/>
          </w:tcPr>
          <w:p w14:paraId="72D474B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14:paraId="560E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0F3D2F7">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电话：13815830145</w:t>
            </w:r>
          </w:p>
        </w:tc>
        <w:tc>
          <w:tcPr>
            <w:tcW w:w="4805" w:type="dxa"/>
            <w:shd w:val="clear" w:color="auto" w:fill="auto"/>
            <w:vAlign w:val="center"/>
          </w:tcPr>
          <w:p w14:paraId="487E11F7">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14:paraId="4B04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13F597C">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开户银行：中国工商银行阜宁县支行</w:t>
            </w:r>
          </w:p>
        </w:tc>
        <w:tc>
          <w:tcPr>
            <w:tcW w:w="4805" w:type="dxa"/>
            <w:shd w:val="clear" w:color="auto" w:fill="auto"/>
            <w:vAlign w:val="center"/>
          </w:tcPr>
          <w:p w14:paraId="3AD928DA">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14:paraId="2F3A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F682AA9">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eastAsia="宋体" w:cs="Times New Roman"/>
                <w:sz w:val="24"/>
                <w:szCs w:val="24"/>
              </w:rPr>
            </w:pPr>
            <w:r>
              <w:rPr>
                <w:rFonts w:hint="eastAsia" w:ascii="宋体" w:hAnsi="宋体"/>
                <w:color w:val="000000"/>
                <w:sz w:val="24"/>
                <w:szCs w:val="24"/>
              </w:rPr>
              <w:t>银行账号：1109670109200214025</w:t>
            </w:r>
          </w:p>
        </w:tc>
        <w:tc>
          <w:tcPr>
            <w:tcW w:w="4805" w:type="dxa"/>
            <w:shd w:val="clear" w:color="auto" w:fill="auto"/>
            <w:vAlign w:val="center"/>
          </w:tcPr>
          <w:p w14:paraId="3643301F">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14:paraId="7A3CC446">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14:paraId="5272CF41">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w:t>
      </w:r>
      <w:r>
        <w:rPr>
          <w:rFonts w:hint="default" w:ascii="Times New Roman" w:hAnsi="Times New Roman" w:eastAsia="宋体" w:cs="Times New Roman"/>
          <w:sz w:val="24"/>
          <w:szCs w:val="24"/>
          <w:lang w:eastAsia="zh-Hans"/>
        </w:rPr>
        <w:t>含泥量标准为</w:t>
      </w:r>
      <w:r>
        <w:rPr>
          <w:rFonts w:hint="eastAsia" w:ascii="宋体" w:hAnsi="宋体" w:eastAsia="宋体" w:cs="宋体"/>
          <w:sz w:val="24"/>
          <w:szCs w:val="24"/>
          <w:lang w:eastAsia="zh-Hans"/>
        </w:rPr>
        <w:t>≤</w:t>
      </w:r>
      <w:r>
        <w:rPr>
          <w:rFonts w:hint="default" w:ascii="Times New Roman" w:hAnsi="Times New Roman" w:eastAsia="宋体" w:cs="Times New Roman"/>
          <w:sz w:val="24"/>
          <w:szCs w:val="24"/>
          <w:lang w:eastAsia="zh-Hans"/>
        </w:rPr>
        <w:t>3.0%、泥块含泥量</w:t>
      </w:r>
      <w:r>
        <w:rPr>
          <w:rFonts w:hint="default" w:ascii="Times New Roman" w:hAnsi="Times New Roman" w:eastAsia="宋体" w:cs="Times New Roman"/>
          <w:sz w:val="24"/>
          <w:szCs w:val="24"/>
        </w:rPr>
        <w:t>为0、表观密度＞2500(kg/m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)、云母含量</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轻物质</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、碱活性符合水利规范。</w:t>
      </w:r>
    </w:p>
    <w:p w14:paraId="2D6832FC">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14:paraId="1BEB48CE">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14:paraId="280F1801">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14:paraId="28D7B817">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如因质量问题或供应商的其它原因，造成的退、换货时，对本工程造成的损失有乙方负责。</w:t>
      </w:r>
    </w:p>
    <w:p w14:paraId="3DF518AD">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14:paraId="6459B82B">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、乙方将黄砂送到甲方工地指定地点。</w:t>
      </w:r>
    </w:p>
    <w:p w14:paraId="4538BC0F">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14:paraId="4DAF95A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14:paraId="63D16762">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14:paraId="52B678D6">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14:paraId="50DBF793">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14:paraId="70AB7EBB">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14:paraId="142F3D96">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14:paraId="61E4D048">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14:paraId="156CE7D3">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14:paraId="67380DA5">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4AA95B3">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14:paraId="0C153745">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14:paraId="6D2ADB4B">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天内付清。支付款项前，供货方须按付款额开具并加盖财务专用章的收款收据。</w:t>
      </w:r>
    </w:p>
    <w:p w14:paraId="42B4782F">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14:paraId="1A9231C0">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6AC8DBC3">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7" w:name="_Hlk77770211"/>
      <w:r>
        <w:rPr>
          <w:rFonts w:hint="default" w:ascii="Times New Roman" w:hAnsi="Times New Roman" w:eastAsia="宋体" w:cs="Times New Roman"/>
          <w:sz w:val="24"/>
          <w:szCs w:val="24"/>
        </w:rPr>
        <w:t>明显有损于甲方利益的合同条款变更事项</w:t>
      </w:r>
      <w:bookmarkEnd w:id="7"/>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34E2B3D8">
      <w:pPr>
        <w:spacing w:line="420" w:lineRule="exact"/>
        <w:ind w:firstLine="420"/>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lang w:val="en-US" w:eastAsia="zh-CN"/>
        </w:rPr>
        <w:t>乙方需向甲方交纳</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z w:val="24"/>
          <w:szCs w:val="24"/>
          <w:highlight w:val="none"/>
        </w:rPr>
        <w:t>履约保证金</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合同价的5%的且精确到万元，</w:t>
      </w:r>
      <w:r>
        <w:rPr>
          <w:rFonts w:hint="default" w:ascii="Times New Roman" w:hAnsi="Times New Roman" w:eastAsia="宋体" w:cs="Times New Roman"/>
          <w:b w:val="0"/>
          <w:bCs w:val="0"/>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7ACC162A">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2731CCC4">
      <w:pPr>
        <w:widowControl w:val="0"/>
        <w:spacing w:line="348" w:lineRule="auto"/>
        <w:ind w:firstLine="480"/>
        <w:rPr>
          <w:color w:val="0000FF"/>
          <w:sz w:val="24"/>
          <w:szCs w:val="24"/>
        </w:rPr>
      </w:pPr>
      <w:r>
        <w:rPr>
          <w:color w:val="0000FF"/>
          <w:sz w:val="24"/>
          <w:szCs w:val="24"/>
        </w:rPr>
        <w:t>开户行：</w:t>
      </w:r>
    </w:p>
    <w:p w14:paraId="58DF5C18">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1582F5DF">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14:paraId="0339CE01">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14:paraId="4E37EEB5">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14:paraId="3339CBD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14:paraId="48AFB942">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14:paraId="3CC4152E">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4BD2BE7F">
      <w:pPr>
        <w:spacing w:line="36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十三、</w:t>
      </w:r>
      <w:r>
        <w:rPr>
          <w:rFonts w:hint="default" w:ascii="Times New Roman" w:hAnsi="Times New Roman" w:eastAsia="宋体" w:cs="Times New Roman"/>
          <w:sz w:val="24"/>
          <w:szCs w:val="24"/>
        </w:rPr>
        <w:t>本合同自双方签字盖章且在甲方收到履约保证金后生效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14:paraId="3A3EFB00">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14:paraId="2D63F4FF">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14:paraId="2BF5BC6B">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14:paraId="57A9259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14:paraId="6D4B9402">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14:paraId="02922ECA">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14:paraId="2FC2D56D">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地址：</w:t>
      </w:r>
    </w:p>
    <w:p w14:paraId="4149B936">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14:paraId="38FFE879">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14:paraId="5A6720DF">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14:paraId="64D8F867">
      <w:pPr>
        <w:rPr>
          <w:rFonts w:ascii="Times New Roman" w:hAnsi="Times New Roman"/>
          <w:color w:val="auto"/>
          <w:sz w:val="18"/>
          <w:szCs w:val="18"/>
          <w:highlight w:val="none"/>
        </w:rPr>
      </w:pPr>
    </w:p>
    <w:p w14:paraId="2D67805C">
      <w:pPr>
        <w:rPr>
          <w:rFonts w:ascii="Times New Roman" w:hAnsi="Times New Roman"/>
          <w:color w:val="auto"/>
          <w:sz w:val="18"/>
          <w:szCs w:val="18"/>
          <w:highlight w:val="none"/>
        </w:rPr>
      </w:pP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2EC406A-E470-4248-98CC-39F7434A5862}"/>
  </w:font>
  <w:font w:name="黑体">
    <w:panose1 w:val="02010609060101010101"/>
    <w:charset w:val="86"/>
    <w:family w:val="auto"/>
    <w:pitch w:val="default"/>
    <w:sig w:usb0="800002BF" w:usb1="38CF7CFA" w:usb2="00000016" w:usb3="00000000" w:csb0="00040001" w:csb1="00000000"/>
    <w:embedRegular r:id="rId2" w:fontKey="{38A797F4-0EDD-48B6-8E3C-C69EDD6FB7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22D284FD-3781-40C5-AA21-9436C3A8DF9A}"/>
  </w:font>
  <w:font w:name="仿宋">
    <w:panose1 w:val="02010609060101010101"/>
    <w:charset w:val="86"/>
    <w:family w:val="modern"/>
    <w:pitch w:val="default"/>
    <w:sig w:usb0="800002BF" w:usb1="38CF7CFA" w:usb2="00000016" w:usb3="00000000" w:csb0="00040001" w:csb1="00000000"/>
    <w:embedRegular r:id="rId4" w:fontKey="{201FBEDD-93A3-4380-9A7B-4B362077A5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71F8D">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117F0">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00B0175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2AC1">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8D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60C4B01"/>
    <w:rsid w:val="06D6469C"/>
    <w:rsid w:val="07CA2465"/>
    <w:rsid w:val="083420ED"/>
    <w:rsid w:val="08FD4A0D"/>
    <w:rsid w:val="09AB5EF1"/>
    <w:rsid w:val="0A7861BD"/>
    <w:rsid w:val="0A80786B"/>
    <w:rsid w:val="0B3348DE"/>
    <w:rsid w:val="0BE10A0F"/>
    <w:rsid w:val="0EBE0962"/>
    <w:rsid w:val="0FA403CB"/>
    <w:rsid w:val="103D7C0F"/>
    <w:rsid w:val="10950A41"/>
    <w:rsid w:val="116A32BE"/>
    <w:rsid w:val="13E659B1"/>
    <w:rsid w:val="14294CA9"/>
    <w:rsid w:val="151A5E3B"/>
    <w:rsid w:val="16D50F3F"/>
    <w:rsid w:val="17A57E3E"/>
    <w:rsid w:val="193E726F"/>
    <w:rsid w:val="19BF1C12"/>
    <w:rsid w:val="19D210AE"/>
    <w:rsid w:val="1A00411B"/>
    <w:rsid w:val="1A370450"/>
    <w:rsid w:val="1A561651"/>
    <w:rsid w:val="1A9A1998"/>
    <w:rsid w:val="1B5E2358"/>
    <w:rsid w:val="1D27048F"/>
    <w:rsid w:val="1D6B5BB3"/>
    <w:rsid w:val="1E905236"/>
    <w:rsid w:val="1EDC28B8"/>
    <w:rsid w:val="201A219F"/>
    <w:rsid w:val="22723AE6"/>
    <w:rsid w:val="23B8047B"/>
    <w:rsid w:val="23FA3D93"/>
    <w:rsid w:val="247A457B"/>
    <w:rsid w:val="24BF011E"/>
    <w:rsid w:val="253B7F39"/>
    <w:rsid w:val="26464D2B"/>
    <w:rsid w:val="28803D90"/>
    <w:rsid w:val="2995009F"/>
    <w:rsid w:val="29F309A2"/>
    <w:rsid w:val="2AFC1F16"/>
    <w:rsid w:val="2CBE44F7"/>
    <w:rsid w:val="2CE628BB"/>
    <w:rsid w:val="2F4A02C4"/>
    <w:rsid w:val="2F4D5528"/>
    <w:rsid w:val="30121A9A"/>
    <w:rsid w:val="302012E2"/>
    <w:rsid w:val="33EE40A7"/>
    <w:rsid w:val="341C6D07"/>
    <w:rsid w:val="345F1918"/>
    <w:rsid w:val="35D2691D"/>
    <w:rsid w:val="36472D8F"/>
    <w:rsid w:val="3667175C"/>
    <w:rsid w:val="3797282C"/>
    <w:rsid w:val="37AC3523"/>
    <w:rsid w:val="38214B80"/>
    <w:rsid w:val="38C1461C"/>
    <w:rsid w:val="3A156427"/>
    <w:rsid w:val="3A8E01DB"/>
    <w:rsid w:val="3B5C2C9A"/>
    <w:rsid w:val="3C237ED3"/>
    <w:rsid w:val="3DFB09DB"/>
    <w:rsid w:val="3FA806EF"/>
    <w:rsid w:val="3FF974C4"/>
    <w:rsid w:val="41036525"/>
    <w:rsid w:val="415428DD"/>
    <w:rsid w:val="416F7716"/>
    <w:rsid w:val="43FB425B"/>
    <w:rsid w:val="454155F4"/>
    <w:rsid w:val="454F3F26"/>
    <w:rsid w:val="465044A0"/>
    <w:rsid w:val="469C786C"/>
    <w:rsid w:val="46A05541"/>
    <w:rsid w:val="47341239"/>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751003C"/>
    <w:rsid w:val="67BD2A93"/>
    <w:rsid w:val="697A64A5"/>
    <w:rsid w:val="69E31F9F"/>
    <w:rsid w:val="6A894DD0"/>
    <w:rsid w:val="6A965FDC"/>
    <w:rsid w:val="6BC404DB"/>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autoRedefine/>
    <w:unhideWhenUsed/>
    <w:qFormat/>
    <w:uiPriority w:val="0"/>
    <w:pPr>
      <w:spacing w:before="120"/>
    </w:pPr>
    <w:rPr>
      <w:rFonts w:ascii="Cambria" w:hAnsi="Cambria"/>
      <w:sz w:val="24"/>
      <w:szCs w:val="24"/>
    </w:rPr>
  </w:style>
  <w:style w:type="paragraph" w:styleId="5">
    <w:name w:val="Document Map"/>
    <w:basedOn w:val="1"/>
    <w:link w:val="21"/>
    <w:autoRedefine/>
    <w:semiHidden/>
    <w:unhideWhenUsed/>
    <w:qFormat/>
    <w:uiPriority w:val="99"/>
    <w:rPr>
      <w:rFonts w:ascii="宋体"/>
      <w:sz w:val="18"/>
      <w:szCs w:val="18"/>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Char"/>
    <w:basedOn w:val="13"/>
    <w:link w:val="10"/>
    <w:autoRedefine/>
    <w:qFormat/>
    <w:uiPriority w:val="99"/>
    <w:rPr>
      <w:sz w:val="18"/>
      <w:szCs w:val="18"/>
    </w:rPr>
  </w:style>
  <w:style w:type="character" w:customStyle="1" w:styleId="16">
    <w:name w:val="页脚 Char"/>
    <w:basedOn w:val="13"/>
    <w:link w:val="9"/>
    <w:autoRedefine/>
    <w:qFormat/>
    <w:uiPriority w:val="99"/>
    <w:rPr>
      <w:sz w:val="18"/>
      <w:szCs w:val="18"/>
    </w:rPr>
  </w:style>
  <w:style w:type="character" w:customStyle="1" w:styleId="17">
    <w:name w:val="纯文本 Char"/>
    <w:link w:val="8"/>
    <w:autoRedefine/>
    <w:qFormat/>
    <w:uiPriority w:val="0"/>
    <w:rPr>
      <w:rFonts w:ascii="宋体" w:hAnsi="Courier New" w:eastAsia="宋体"/>
    </w:rPr>
  </w:style>
  <w:style w:type="character" w:customStyle="1" w:styleId="18">
    <w:name w:val="正文文本 3 Char"/>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Char"/>
    <w:basedOn w:val="13"/>
    <w:link w:val="5"/>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Char1"/>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Char"/>
    <w:basedOn w:val="13"/>
    <w:link w:val="4"/>
    <w:autoRedefine/>
    <w:qFormat/>
    <w:uiPriority w:val="0"/>
    <w:rPr>
      <w:rFonts w:ascii="Arial" w:hAnsi="Arial" w:eastAsia="宋体" w:cs="Times New Roman"/>
      <w:bCs/>
      <w:kern w:val="0"/>
      <w:sz w:val="20"/>
      <w:szCs w:val="32"/>
    </w:rPr>
  </w:style>
  <w:style w:type="character" w:customStyle="1" w:styleId="27">
    <w:name w:val="标题 1 Char"/>
    <w:basedOn w:val="13"/>
    <w:link w:val="3"/>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5559</Words>
  <Characters>5836</Characters>
  <Lines>71</Lines>
  <Paragraphs>20</Paragraphs>
  <TotalTime>0</TotalTime>
  <ScaleCrop>false</ScaleCrop>
  <LinksUpToDate>false</LinksUpToDate>
  <CharactersWithSpaces>5930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2025-06-17T07:11:31Z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5B1072E4EDEA4F1BB4981C049FCD9AFD_13</vt:lpwstr>
  </property>
  <property fmtid="{D5CDD505-2E9C-101B-9397-08002B2CF9AE}" pid="4" name="KSOTemplateDocerSaveRecord">
    <vt:lpwstr>eyJoZGlkIjoiNjc3ZDU4NDg0ZmE2MTAzZTY0MGM2NjhjYjJmNTRkNjEiLCJ1c2VySWQiOiI3MjEwOTQ1MTcifQ==</vt:lpwstr>
  </property>
</Properties>
</file>