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40" w:firstLine="361"/>
        <w:rPr>
          <w:rFonts w:ascii="Times New Roman" w:hAnsi="Times New Roman" w:eastAsiaTheme="minorEastAsia"/>
          <w:b/>
          <w:sz w:val="18"/>
          <w:szCs w:val="18"/>
        </w:rPr>
      </w:pPr>
    </w:p>
    <w:p>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pPr>
        <w:adjustRightInd w:val="0"/>
        <w:snapToGrid w:val="0"/>
        <w:jc w:val="center"/>
        <w:rPr>
          <w:rFonts w:ascii="宋体" w:hAnsi="宋体" w:cs="宋体"/>
          <w:b/>
          <w:color w:val="000000"/>
          <w:sz w:val="44"/>
          <w:szCs w:val="44"/>
        </w:rPr>
      </w:pPr>
      <w:r>
        <w:rPr>
          <w:rFonts w:hint="eastAsia" w:ascii="宋体" w:hAnsi="宋体" w:cs="宋体"/>
          <w:b/>
          <w:color w:val="000000"/>
          <w:sz w:val="44"/>
          <w:szCs w:val="44"/>
        </w:rPr>
        <w:t>秦淮新河水利枢纽改扩建工程</w:t>
      </w:r>
    </w:p>
    <w:p>
      <w:pPr>
        <w:adjustRightInd w:val="0"/>
        <w:snapToGrid w:val="0"/>
        <w:jc w:val="center"/>
        <w:rPr>
          <w:rFonts w:ascii="宋体" w:hAnsi="宋体" w:cs="宋体"/>
          <w:b/>
          <w:color w:val="000000"/>
          <w:sz w:val="44"/>
          <w:szCs w:val="44"/>
        </w:rPr>
      </w:pPr>
      <w:r>
        <w:rPr>
          <w:rFonts w:hint="eastAsia" w:ascii="宋体" w:hAnsi="宋体" w:cs="宋体"/>
          <w:b/>
          <w:color w:val="000000"/>
          <w:sz w:val="44"/>
          <w:szCs w:val="44"/>
        </w:rPr>
        <w:t>土建施工及设备安装</w:t>
      </w:r>
    </w:p>
    <w:p>
      <w:pPr>
        <w:adjustRightInd w:val="0"/>
        <w:snapToGrid w:val="0"/>
        <w:jc w:val="center"/>
        <w:rPr>
          <w:rFonts w:ascii="宋体" w:hAnsi="宋体" w:cs="宋体"/>
          <w:b/>
          <w:color w:val="000000"/>
          <w:sz w:val="44"/>
          <w:szCs w:val="44"/>
        </w:rPr>
      </w:pPr>
      <w:r>
        <w:rPr>
          <w:rFonts w:hint="eastAsia" w:ascii="宋体" w:hAnsi="宋体" w:cs="宋体"/>
          <w:b/>
          <w:color w:val="000000"/>
          <w:sz w:val="44"/>
          <w:szCs w:val="44"/>
        </w:rPr>
        <w:t>电缆采购招标文件</w:t>
      </w:r>
    </w:p>
    <w:p>
      <w:pPr>
        <w:ind w:firstLine="360"/>
        <w:rPr>
          <w:rFonts w:ascii="Times New Roman" w:hAnsi="Times New Roman" w:eastAsiaTheme="minorEastAsia"/>
          <w:sz w:val="18"/>
          <w:szCs w:val="18"/>
        </w:rPr>
      </w:pPr>
    </w:p>
    <w:p>
      <w:pPr>
        <w:snapToGrid w:val="0"/>
        <w:ind w:left="40" w:firstLine="361"/>
        <w:rPr>
          <w:rFonts w:ascii="Times New Roman" w:hAnsi="Times New Roman" w:eastAsiaTheme="minorEastAsia"/>
          <w:b/>
          <w:sz w:val="18"/>
          <w:szCs w:val="18"/>
        </w:rPr>
      </w:pPr>
    </w:p>
    <w:p>
      <w:pPr>
        <w:pStyle w:val="2"/>
      </w:pPr>
    </w:p>
    <w:p>
      <w:pPr>
        <w:adjustRightInd w:val="0"/>
        <w:snapToGrid w:val="0"/>
        <w:spacing w:line="480" w:lineRule="auto"/>
        <w:ind w:firstLine="360"/>
        <w:jc w:val="center"/>
        <w:rPr>
          <w:rFonts w:ascii="Times New Roman" w:hAnsi="Times New Roman" w:eastAsiaTheme="minorEastAsia"/>
          <w:bCs/>
          <w:sz w:val="18"/>
          <w:szCs w:val="18"/>
        </w:rPr>
      </w:pPr>
    </w:p>
    <w:p>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pPr>
        <w:ind w:firstLine="360"/>
        <w:rPr>
          <w:rFonts w:ascii="Times New Roman" w:hAnsi="Times New Roman"/>
          <w:sz w:val="18"/>
          <w:szCs w:val="18"/>
        </w:rPr>
      </w:pPr>
    </w:p>
    <w:p>
      <w:pPr>
        <w:ind w:firstLine="360"/>
        <w:rPr>
          <w:rFonts w:ascii="Times New Roman" w:hAnsi="Times New Roman"/>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pStyle w:val="2"/>
        <w:rPr>
          <w:rFonts w:ascii="Times New Roman" w:hAnsi="Times New Roman" w:eastAsiaTheme="minorEastAsia"/>
          <w:b/>
          <w:bCs/>
          <w:sz w:val="18"/>
          <w:szCs w:val="18"/>
        </w:rPr>
      </w:pPr>
    </w:p>
    <w:p/>
    <w:p>
      <w:pPr>
        <w:snapToGrid w:val="0"/>
        <w:spacing w:before="156" w:line="360" w:lineRule="auto"/>
        <w:ind w:left="40" w:firstLine="361"/>
        <w:rPr>
          <w:rFonts w:ascii="Times New Roman" w:hAnsi="Times New Roman" w:eastAsiaTheme="minorEastAsia"/>
          <w:b/>
          <w:bCs/>
          <w:sz w:val="18"/>
          <w:szCs w:val="18"/>
        </w:rPr>
      </w:pPr>
    </w:p>
    <w:p>
      <w:pPr>
        <w:pStyle w:val="2"/>
      </w:pP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 xml:space="preserve">秦淮新河水利枢纽改扩建工程土建施工及设备安装 </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6</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3</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3</w:t>
      </w:r>
      <w:r>
        <w:rPr>
          <w:rFonts w:ascii="Times New Roman" w:hAnsi="Times New Roman" w:eastAsiaTheme="minorEastAsia"/>
          <w:b/>
          <w:bCs/>
          <w:sz w:val="24"/>
          <w:szCs w:val="24"/>
        </w:rPr>
        <w:t>日</w:t>
      </w:r>
    </w:p>
    <w:p>
      <w:pPr>
        <w:rPr>
          <w:rFonts w:ascii="Times New Roman" w:hAnsi="Times New Roman" w:eastAsiaTheme="minorEastAsia"/>
          <w:b/>
          <w:bCs/>
          <w:sz w:val="24"/>
          <w:szCs w:val="24"/>
        </w:rPr>
      </w:pPr>
      <w:r>
        <w:rPr>
          <w:rFonts w:ascii="Times New Roman" w:hAnsi="Times New Roman" w:eastAsiaTheme="minorEastAsia"/>
          <w:b/>
          <w:bCs/>
          <w:sz w:val="24"/>
          <w:szCs w:val="24"/>
        </w:rPr>
        <w:br w:type="page"/>
      </w:r>
    </w:p>
    <w:p>
      <w:pPr>
        <w:spacing w:beforeLines="100" w:line="360" w:lineRule="auto"/>
        <w:jc w:val="center"/>
        <w:rPr>
          <w:rFonts w:ascii="Times New Roman" w:hAnsi="Times New Roman"/>
          <w:b/>
          <w:sz w:val="32"/>
          <w:szCs w:val="32"/>
        </w:rPr>
      </w:pPr>
      <w:r>
        <w:rPr>
          <w:rFonts w:ascii="Times New Roman" w:hAnsi="Times New Roman"/>
          <w:b/>
          <w:sz w:val="32"/>
          <w:szCs w:val="32"/>
        </w:rPr>
        <w:t xml:space="preserve">第一章 </w:t>
      </w:r>
      <w:r>
        <w:rPr>
          <w:rFonts w:hint="eastAsia" w:ascii="Times New Roman" w:hAnsi="Times New Roman"/>
          <w:b/>
          <w:sz w:val="32"/>
          <w:szCs w:val="32"/>
          <w:lang w:val="en-US" w:eastAsia="zh-CN"/>
        </w:rPr>
        <w:t xml:space="preserve"> </w:t>
      </w:r>
      <w:r>
        <w:rPr>
          <w:rFonts w:ascii="Times New Roman" w:hAnsi="Times New Roman"/>
          <w:b/>
          <w:sz w:val="32"/>
          <w:szCs w:val="32"/>
        </w:rPr>
        <w:t>招标公告</w:t>
      </w:r>
    </w:p>
    <w:p>
      <w:pPr>
        <w:keepNext w:val="0"/>
        <w:keepLines w:val="0"/>
        <w:pageBreakBefore w:val="0"/>
        <w:kinsoku/>
        <w:wordWrap/>
        <w:overflowPunct/>
        <w:topLinePunct w:val="0"/>
        <w:autoSpaceDE/>
        <w:autoSpaceDN/>
        <w:bidi w:val="0"/>
        <w:adjustRightInd w:val="0"/>
        <w:snapToGrid w:val="0"/>
        <w:spacing w:line="327" w:lineRule="auto"/>
        <w:ind w:left="40" w:firstLine="480"/>
        <w:textAlignment w:val="auto"/>
        <w:rPr>
          <w:rFonts w:ascii="Times New Roman" w:hAnsi="Times New Roman"/>
          <w:sz w:val="24"/>
          <w:szCs w:val="24"/>
        </w:rPr>
      </w:pPr>
    </w:p>
    <w:p>
      <w:pPr>
        <w:keepNext w:val="0"/>
        <w:keepLines w:val="0"/>
        <w:pageBreakBefore w:val="0"/>
        <w:kinsoku/>
        <w:wordWrap/>
        <w:overflowPunct/>
        <w:topLinePunct w:val="0"/>
        <w:autoSpaceDE/>
        <w:autoSpaceDN/>
        <w:bidi w:val="0"/>
        <w:adjustRightInd w:val="0"/>
        <w:snapToGrid w:val="0"/>
        <w:spacing w:line="348" w:lineRule="auto"/>
        <w:ind w:left="40" w:firstLine="480" w:firstLineChars="200"/>
        <w:textAlignment w:val="auto"/>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秦淮新河水利枢纽改扩建工程土建施工及设备安装工程</w:t>
      </w:r>
      <w:r>
        <w:rPr>
          <w:rFonts w:ascii="宋体" w:hAnsi="宋体"/>
          <w:sz w:val="24"/>
          <w:szCs w:val="24"/>
        </w:rPr>
        <w:t>，为保证优质、高效、安全地完成施工任务，</w:t>
      </w:r>
      <w:r>
        <w:rPr>
          <w:rFonts w:hint="eastAsia" w:ascii="宋体" w:hAnsi="宋体"/>
          <w:sz w:val="24"/>
          <w:szCs w:val="24"/>
        </w:rPr>
        <w:t>现决定对该项目使用的电缆采购进行公开招标</w:t>
      </w:r>
      <w:r>
        <w:rPr>
          <w:rFonts w:ascii="宋体" w:hAnsi="宋体"/>
          <w:sz w:val="24"/>
          <w:szCs w:val="24"/>
        </w:rPr>
        <w:t>，欢迎新老客户参加竞标。</w:t>
      </w:r>
      <w:bookmarkStart w:id="0" w:name="_Toc374458968"/>
      <w:bookmarkStart w:id="1" w:name="_Toc211244988"/>
      <w:bookmarkStart w:id="2" w:name="_Toc13095"/>
    </w:p>
    <w:bookmarkEnd w:id="0"/>
    <w:bookmarkEnd w:id="1"/>
    <w:bookmarkEnd w:id="2"/>
    <w:p>
      <w:pPr>
        <w:keepNext w:val="0"/>
        <w:keepLines w:val="0"/>
        <w:pageBreakBefore w:val="0"/>
        <w:kinsoku/>
        <w:wordWrap/>
        <w:overflowPunct/>
        <w:topLinePunct w:val="0"/>
        <w:autoSpaceDE/>
        <w:autoSpaceDN/>
        <w:bidi w:val="0"/>
        <w:adjustRightInd w:val="0"/>
        <w:snapToGrid w:val="0"/>
        <w:spacing w:line="348" w:lineRule="auto"/>
        <w:ind w:left="40" w:firstLine="482" w:firstLineChars="200"/>
        <w:textAlignment w:val="auto"/>
        <w:rPr>
          <w:rFonts w:ascii="宋体" w:hAnsi="宋体"/>
          <w:b/>
          <w:sz w:val="24"/>
          <w:szCs w:val="24"/>
        </w:rPr>
      </w:pPr>
      <w:r>
        <w:rPr>
          <w:rFonts w:ascii="宋体" w:hAnsi="宋体"/>
          <w:b/>
          <w:sz w:val="24"/>
          <w:szCs w:val="24"/>
        </w:rPr>
        <w:t>一、投标人资格要求</w:t>
      </w:r>
    </w:p>
    <w:p>
      <w:pPr>
        <w:keepNext w:val="0"/>
        <w:keepLines w:val="0"/>
        <w:pageBreakBefore w:val="0"/>
        <w:kinsoku/>
        <w:wordWrap/>
        <w:overflowPunct/>
        <w:topLinePunct w:val="0"/>
        <w:autoSpaceDE/>
        <w:autoSpaceDN/>
        <w:bidi w:val="0"/>
        <w:adjustRightInd w:val="0"/>
        <w:snapToGrid w:val="0"/>
        <w:spacing w:line="348" w:lineRule="auto"/>
        <w:ind w:firstLine="480"/>
        <w:textAlignment w:val="auto"/>
        <w:rPr>
          <w:rFonts w:ascii="Times New Roman" w:hAnsi="Times New Roman"/>
          <w:sz w:val="24"/>
          <w:szCs w:val="24"/>
        </w:rPr>
      </w:pPr>
      <w:bookmarkStart w:id="3" w:name="_Toc9530677"/>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pPr>
        <w:keepNext w:val="0"/>
        <w:keepLines w:val="0"/>
        <w:pageBreakBefore w:val="0"/>
        <w:kinsoku/>
        <w:wordWrap/>
        <w:overflowPunct/>
        <w:topLinePunct w:val="0"/>
        <w:autoSpaceDE/>
        <w:autoSpaceDN/>
        <w:bidi w:val="0"/>
        <w:adjustRightInd w:val="0"/>
        <w:snapToGrid w:val="0"/>
        <w:spacing w:line="348" w:lineRule="auto"/>
        <w:ind w:left="40" w:firstLine="482" w:firstLineChars="200"/>
        <w:textAlignment w:val="auto"/>
        <w:rPr>
          <w:rFonts w:ascii="宋体" w:hAnsi="宋体"/>
          <w:b/>
          <w:sz w:val="24"/>
          <w:szCs w:val="24"/>
        </w:rPr>
      </w:pPr>
      <w:r>
        <w:rPr>
          <w:rFonts w:ascii="宋体" w:hAnsi="宋体"/>
          <w:b/>
          <w:sz w:val="24"/>
          <w:szCs w:val="24"/>
        </w:rPr>
        <w:t>二、招标文件的获取</w:t>
      </w:r>
      <w:bookmarkEnd w:id="3"/>
    </w:p>
    <w:p>
      <w:pPr>
        <w:keepNext w:val="0"/>
        <w:keepLines w:val="0"/>
        <w:pageBreakBefore w:val="0"/>
        <w:kinsoku/>
        <w:wordWrap/>
        <w:overflowPunct/>
        <w:topLinePunct w:val="0"/>
        <w:autoSpaceDE/>
        <w:autoSpaceDN/>
        <w:bidi w:val="0"/>
        <w:adjustRightInd w:val="0"/>
        <w:snapToGrid w:val="0"/>
        <w:spacing w:line="348" w:lineRule="auto"/>
        <w:ind w:left="40" w:firstLine="480" w:firstLineChars="200"/>
        <w:textAlignment w:val="auto"/>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电缆</w:t>
      </w:r>
      <w:r>
        <w:rPr>
          <w:rFonts w:ascii="宋体" w:hAnsi="宋体"/>
          <w:sz w:val="24"/>
          <w:szCs w:val="24"/>
        </w:rPr>
        <w:t>采购的招标文件。</w:t>
      </w:r>
    </w:p>
    <w:p>
      <w:pPr>
        <w:keepNext w:val="0"/>
        <w:keepLines w:val="0"/>
        <w:pageBreakBefore w:val="0"/>
        <w:kinsoku/>
        <w:wordWrap/>
        <w:overflowPunct/>
        <w:topLinePunct w:val="0"/>
        <w:autoSpaceDE/>
        <w:autoSpaceDN/>
        <w:bidi w:val="0"/>
        <w:spacing w:line="348" w:lineRule="auto"/>
        <w:ind w:left="40" w:firstLine="480" w:firstLineChars="200"/>
        <w:textAlignment w:val="auto"/>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系人：朱丽（联系电话：13218960628）（长征西路14号）</w:t>
      </w:r>
    </w:p>
    <w:p>
      <w:pPr>
        <w:keepNext w:val="0"/>
        <w:keepLines w:val="0"/>
        <w:pageBreakBefore w:val="0"/>
        <w:kinsoku/>
        <w:wordWrap/>
        <w:overflowPunct/>
        <w:topLinePunct w:val="0"/>
        <w:autoSpaceDE/>
        <w:autoSpaceDN/>
        <w:bidi w:val="0"/>
        <w:spacing w:line="348" w:lineRule="auto"/>
        <w:ind w:left="40" w:firstLine="482"/>
        <w:textAlignment w:val="auto"/>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吴坤（</w:t>
      </w:r>
      <w:r>
        <w:rPr>
          <w:rFonts w:ascii="Times New Roman" w:hAnsi="Times New Roman"/>
          <w:color w:val="000000"/>
          <w:sz w:val="24"/>
          <w:szCs w:val="24"/>
        </w:rPr>
        <w:t>联系电话：</w:t>
      </w:r>
      <w:r>
        <w:rPr>
          <w:rFonts w:hint="eastAsia" w:ascii="Times New Roman" w:hAnsi="Times New Roman"/>
          <w:sz w:val="24"/>
          <w:szCs w:val="24"/>
        </w:rPr>
        <w:t>18921907689）</w:t>
      </w:r>
    </w:p>
    <w:p>
      <w:pPr>
        <w:keepNext w:val="0"/>
        <w:keepLines w:val="0"/>
        <w:pageBreakBefore w:val="0"/>
        <w:kinsoku/>
        <w:wordWrap/>
        <w:overflowPunct/>
        <w:topLinePunct w:val="0"/>
        <w:autoSpaceDE/>
        <w:autoSpaceDN/>
        <w:bidi w:val="0"/>
        <w:spacing w:line="348" w:lineRule="auto"/>
        <w:ind w:left="40" w:firstLine="482"/>
        <w:textAlignment w:val="auto"/>
        <w:rPr>
          <w:rFonts w:ascii="宋体" w:hAnsi="宋体"/>
          <w:b/>
          <w:bCs/>
          <w:sz w:val="24"/>
          <w:szCs w:val="24"/>
        </w:rPr>
      </w:pPr>
      <w:r>
        <w:rPr>
          <w:rFonts w:ascii="宋体" w:hAnsi="宋体"/>
          <w:b/>
          <w:bCs/>
          <w:sz w:val="24"/>
          <w:szCs w:val="24"/>
        </w:rPr>
        <w:t>三、投标文件的递交</w:t>
      </w:r>
    </w:p>
    <w:p>
      <w:pPr>
        <w:keepNext w:val="0"/>
        <w:keepLines w:val="0"/>
        <w:pageBreakBefore w:val="0"/>
        <w:widowControl/>
        <w:kinsoku/>
        <w:wordWrap/>
        <w:overflowPunct/>
        <w:topLinePunct w:val="0"/>
        <w:autoSpaceDE/>
        <w:autoSpaceDN/>
        <w:bidi w:val="0"/>
        <w:snapToGrid w:val="0"/>
        <w:spacing w:line="348" w:lineRule="auto"/>
        <w:ind w:left="40" w:firstLine="480" w:firstLineChars="200"/>
        <w:textAlignment w:val="auto"/>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hint="eastAsia" w:ascii="Times New Roman" w:hAnsi="Times New Roman"/>
          <w:sz w:val="24"/>
          <w:szCs w:val="24"/>
        </w:rPr>
        <w:t>2026年3月11日上午09:00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w:t>
      </w:r>
      <w:r>
        <w:rPr>
          <w:rFonts w:hint="eastAsia" w:ascii="Times New Roman" w:hAnsi="Times New Roman"/>
          <w:sz w:val="24"/>
          <w:szCs w:val="24"/>
        </w:rPr>
        <w:t>林恒权</w:t>
      </w:r>
      <w:r>
        <w:rPr>
          <w:rFonts w:ascii="Times New Roman" w:hAnsi="Times New Roman"/>
          <w:sz w:val="24"/>
          <w:szCs w:val="24"/>
        </w:rPr>
        <w:t>（联系电话：</w:t>
      </w:r>
      <w:r>
        <w:rPr>
          <w:rFonts w:hint="eastAsia" w:ascii="Times New Roman" w:hAnsi="Times New Roman"/>
          <w:sz w:val="24"/>
          <w:szCs w:val="24"/>
        </w:rPr>
        <w:t>13952571496</w:t>
      </w:r>
      <w:r>
        <w:rPr>
          <w:rFonts w:ascii="Times New Roman" w:hAnsi="Times New Roman"/>
          <w:sz w:val="24"/>
          <w:szCs w:val="24"/>
        </w:rPr>
        <w:t>）</w:t>
      </w:r>
      <w:r>
        <w:rPr>
          <w:rFonts w:ascii="宋体" w:hAnsi="宋体"/>
          <w:sz w:val="24"/>
          <w:szCs w:val="24"/>
        </w:rPr>
        <w:t>联系获取江苏水建集中采购平台操作手</w:t>
      </w:r>
      <w:r>
        <w:rPr>
          <w:rFonts w:ascii="Times New Roman" w:hAnsi="Times New Roman"/>
          <w:sz w:val="24"/>
          <w:szCs w:val="24"/>
        </w:rPr>
        <w:t>册。</w:t>
      </w:r>
    </w:p>
    <w:p>
      <w:pPr>
        <w:keepNext w:val="0"/>
        <w:keepLines w:val="0"/>
        <w:pageBreakBefore w:val="0"/>
        <w:kinsoku/>
        <w:wordWrap/>
        <w:overflowPunct/>
        <w:topLinePunct w:val="0"/>
        <w:autoSpaceDE/>
        <w:autoSpaceDN/>
        <w:bidi w:val="0"/>
        <w:spacing w:line="348" w:lineRule="auto"/>
        <w:ind w:left="40" w:firstLine="482"/>
        <w:textAlignment w:val="auto"/>
        <w:rPr>
          <w:rFonts w:ascii="Times New Roman" w:hAnsi="Times New Roman"/>
          <w:b/>
          <w:bCs/>
          <w:sz w:val="24"/>
          <w:szCs w:val="24"/>
        </w:rPr>
      </w:pPr>
      <w:r>
        <w:rPr>
          <w:rFonts w:ascii="Times New Roman" w:hAnsi="Times New Roman"/>
          <w:b/>
          <w:bCs/>
          <w:sz w:val="24"/>
          <w:szCs w:val="24"/>
        </w:rPr>
        <w:t>四、投标保证金、开标时间地点</w:t>
      </w:r>
    </w:p>
    <w:p>
      <w:pPr>
        <w:keepNext w:val="0"/>
        <w:keepLines w:val="0"/>
        <w:pageBreakBefore w:val="0"/>
        <w:kinsoku/>
        <w:wordWrap/>
        <w:overflowPunct/>
        <w:topLinePunct w:val="0"/>
        <w:autoSpaceDE/>
        <w:autoSpaceDN/>
        <w:bidi w:val="0"/>
        <w:adjustRightInd w:val="0"/>
        <w:snapToGrid w:val="0"/>
        <w:spacing w:line="348"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hint="eastAsia" w:ascii="Times New Roman" w:hAnsi="Times New Roman"/>
          <w:sz w:val="24"/>
          <w:szCs w:val="24"/>
        </w:rPr>
        <w:t>2026年3月10日下午16:00</w:t>
      </w:r>
      <w:bookmarkStart w:id="10" w:name="_GoBack"/>
      <w:bookmarkEnd w:id="10"/>
      <w:r>
        <w:rPr>
          <w:rFonts w:ascii="Times New Roman" w:hAnsi="Times New Roman"/>
          <w:sz w:val="24"/>
          <w:szCs w:val="24"/>
        </w:rPr>
        <w:t>前从单位基本账户将投标保证金（人民币）</w:t>
      </w:r>
      <w:r>
        <w:rPr>
          <w:rFonts w:hint="eastAsia" w:ascii="Times New Roman" w:hAnsi="Times New Roman" w:eastAsia="宋体" w:cs="Times New Roman"/>
          <w:b/>
          <w:bCs/>
          <w:color w:val="FF0000"/>
          <w:sz w:val="24"/>
          <w:szCs w:val="24"/>
          <w:u w:val="single"/>
          <w:lang w:val="en-US" w:eastAsia="zh-CN"/>
        </w:rPr>
        <w:t>柒</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b/>
          <w:bCs/>
          <w:sz w:val="24"/>
          <w:szCs w:val="24"/>
        </w:rPr>
        <w:t>秦淮新河水利枢纽改扩建工程电缆</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kinsoku/>
        <w:wordWrap/>
        <w:overflowPunct/>
        <w:topLinePunct w:val="0"/>
        <w:autoSpaceDE/>
        <w:autoSpaceDN/>
        <w:bidi w:val="0"/>
        <w:spacing w:line="348" w:lineRule="auto"/>
        <w:ind w:left="40"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pPr>
        <w:keepNext w:val="0"/>
        <w:keepLines w:val="0"/>
        <w:pageBreakBefore w:val="0"/>
        <w:kinsoku/>
        <w:wordWrap/>
        <w:overflowPunct/>
        <w:topLinePunct w:val="0"/>
        <w:autoSpaceDE/>
        <w:autoSpaceDN/>
        <w:bidi w:val="0"/>
        <w:spacing w:line="348" w:lineRule="auto"/>
        <w:ind w:left="40"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pPr>
        <w:keepNext w:val="0"/>
        <w:keepLines w:val="0"/>
        <w:pageBreakBefore w:val="0"/>
        <w:kinsoku/>
        <w:wordWrap/>
        <w:overflowPunct/>
        <w:topLinePunct w:val="0"/>
        <w:autoSpaceDE/>
        <w:autoSpaceDN/>
        <w:bidi w:val="0"/>
        <w:spacing w:line="348" w:lineRule="auto"/>
        <w:ind w:left="40" w:firstLine="480" w:firstLineChars="200"/>
        <w:textAlignment w:val="auto"/>
        <w:rPr>
          <w:rFonts w:ascii="Times New Roman" w:hAnsi="Times New Roman"/>
          <w:sz w:val="24"/>
          <w:szCs w:val="24"/>
        </w:rPr>
      </w:pPr>
      <w:r>
        <w:rPr>
          <w:rFonts w:ascii="Times New Roman" w:hAnsi="Times New Roman"/>
          <w:sz w:val="24"/>
          <w:szCs w:val="24"/>
        </w:rPr>
        <w:t>账号：32001745736050488688</w:t>
      </w:r>
    </w:p>
    <w:p>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hint="eastAsia" w:ascii="Times New Roman" w:hAnsi="Times New Roman"/>
          <w:sz w:val="24"/>
          <w:szCs w:val="24"/>
        </w:rPr>
        <w:t>2026年3月11日上午09:00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ascii="Times New Roman" w:hAnsi="Times New Roman"/>
          <w:sz w:val="24"/>
          <w:szCs w:val="24"/>
        </w:rPr>
      </w:pPr>
      <w:r>
        <w:rPr>
          <w:rFonts w:hint="eastAsia" w:ascii="Times New Roman" w:hAnsi="Times New Roman"/>
          <w:sz w:val="24"/>
          <w:szCs w:val="24"/>
        </w:rPr>
        <w:t>1、本次电缆招标品牌仅限为：</w:t>
      </w:r>
      <w:r>
        <w:rPr>
          <w:rFonts w:hint="eastAsia" w:ascii="宋体" w:hAnsi="宋体" w:eastAsia="宋体" w:cs="宋体"/>
          <w:b/>
          <w:bCs/>
          <w:color w:val="000000"/>
          <w:sz w:val="24"/>
          <w:szCs w:val="24"/>
        </w:rPr>
        <w:t>远东电缆有限公司、江苏润华电缆股份有限公司、宝胜集团、江苏上上电缆集团有限公司、杭州电缆股份有限公司、上海起帆电缆股份有限公司</w:t>
      </w:r>
      <w:r>
        <w:rPr>
          <w:rFonts w:hint="eastAsia" w:ascii="Times New Roman" w:hAnsi="Times New Roman"/>
          <w:sz w:val="24"/>
          <w:szCs w:val="24"/>
        </w:rPr>
        <w:t>清单如下：</w:t>
      </w:r>
    </w:p>
    <w:tbl>
      <w:tblPr>
        <w:tblStyle w:val="12"/>
        <w:tblW w:w="9148" w:type="dxa"/>
        <w:jc w:val="center"/>
        <w:tblLayout w:type="fixed"/>
        <w:tblCellMar>
          <w:top w:w="0" w:type="dxa"/>
          <w:left w:w="79" w:type="dxa"/>
          <w:bottom w:w="0" w:type="dxa"/>
          <w:right w:w="79" w:type="dxa"/>
        </w:tblCellMar>
      </w:tblPr>
      <w:tblGrid>
        <w:gridCol w:w="1025"/>
        <w:gridCol w:w="2890"/>
        <w:gridCol w:w="1918"/>
        <w:gridCol w:w="1728"/>
        <w:gridCol w:w="1587"/>
      </w:tblGrid>
      <w:tr>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序号</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型号</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计量单位</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lang w:val="en-US" w:eastAsia="zh-CN"/>
              </w:rPr>
              <w:t>暂定</w:t>
            </w:r>
            <w:r>
              <w:rPr>
                <w:rFonts w:hint="eastAsia" w:ascii="Times New Roman" w:hAnsi="Times New Roman"/>
                <w:color w:val="000000"/>
                <w:kern w:val="0"/>
                <w:sz w:val="22"/>
                <w:szCs w:val="22"/>
              </w:rPr>
              <w:t>数量</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备注</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r>
              <w:rPr>
                <w:rFonts w:ascii="Times New Roman" w:hAnsi="Times New Roman"/>
                <w:b/>
                <w:bCs/>
                <w:color w:val="000000"/>
                <w:kern w:val="0"/>
                <w:sz w:val="22"/>
                <w:szCs w:val="22"/>
              </w:rPr>
              <w:t>一</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pPr>
            <w:r>
              <w:rPr>
                <w:rFonts w:hint="eastAsia" w:ascii="Times New Roman" w:hAnsi="Times New Roman"/>
                <w:b/>
                <w:bCs/>
                <w:color w:val="000000"/>
                <w:kern w:val="0"/>
                <w:sz w:val="22"/>
                <w:szCs w:val="22"/>
              </w:rPr>
              <w:t>高压电缆</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ZA-YJV62-8.7/15-1×400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3360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color w:val="000000"/>
                <w:kern w:val="0"/>
                <w:sz w:val="22"/>
                <w:szCs w:val="22"/>
              </w:rPr>
              <w:t>进线电缆</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ZA-YJV-8.7/15-3×70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70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color w:val="000000"/>
                <w:kern w:val="0"/>
                <w:sz w:val="22"/>
                <w:szCs w:val="22"/>
              </w:rPr>
              <w:t>变压器电缆</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ZA-YJV-8.7/15-3×95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260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color w:val="000000"/>
                <w:kern w:val="0"/>
                <w:sz w:val="22"/>
                <w:szCs w:val="22"/>
              </w:rPr>
              <w:t>主机电缆</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宋体" w:hAnsi="宋体" w:cs="宋体"/>
                <w:b/>
                <w:bCs/>
                <w:color w:val="000000"/>
                <w:kern w:val="0"/>
                <w:sz w:val="24"/>
                <w:szCs w:val="24"/>
              </w:rPr>
            </w:pPr>
            <w:r>
              <w:rPr>
                <w:rFonts w:hint="eastAsia" w:ascii="宋体" w:hAnsi="宋体" w:cs="宋体"/>
                <w:b/>
                <w:bCs/>
                <w:color w:val="000000"/>
                <w:kern w:val="0"/>
                <w:sz w:val="24"/>
                <w:szCs w:val="24"/>
              </w:rPr>
              <w:t>ZA-YJV22-8.7/15-3×120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宋体" w:hAnsi="宋体" w:cs="宋体"/>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宋体" w:hAnsi="宋体" w:cs="宋体"/>
                <w:color w:val="000000"/>
                <w:kern w:val="0"/>
                <w:sz w:val="22"/>
                <w:szCs w:val="22"/>
              </w:rPr>
            </w:pPr>
            <w:r>
              <w:rPr>
                <w:rFonts w:hint="eastAsia" w:ascii="宋体" w:hAnsi="宋体" w:cs="宋体"/>
                <w:color w:val="000000"/>
                <w:kern w:val="0"/>
                <w:sz w:val="22"/>
                <w:szCs w:val="22"/>
              </w:rPr>
              <w:t>250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color w:val="000000"/>
                <w:kern w:val="0"/>
                <w:sz w:val="22"/>
                <w:szCs w:val="22"/>
              </w:rPr>
              <w:t>土建返送电缆</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r>
              <w:rPr>
                <w:rFonts w:ascii="Times New Roman" w:hAnsi="Times New Roman"/>
                <w:b/>
                <w:bCs/>
                <w:color w:val="000000"/>
                <w:kern w:val="0"/>
                <w:sz w:val="22"/>
                <w:szCs w:val="22"/>
              </w:rPr>
              <w:t>二、</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r>
              <w:rPr>
                <w:rFonts w:hint="eastAsia" w:ascii="Times New Roman" w:hAnsi="Times New Roman"/>
                <w:b/>
                <w:bCs/>
                <w:color w:val="000000"/>
                <w:kern w:val="0"/>
                <w:sz w:val="22"/>
                <w:szCs w:val="22"/>
              </w:rPr>
              <w:t>低压电缆</w:t>
            </w:r>
          </w:p>
        </w:tc>
        <w:tc>
          <w:tcPr>
            <w:tcW w:w="52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color w:val="000000"/>
                <w:kern w:val="0"/>
                <w:sz w:val="22"/>
                <w:szCs w:val="22"/>
              </w:rPr>
              <w:t>要求：电缆内采用黄、绿、红、蓝、黄绿颜色全包围绝缘层区分</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ZA-YJV-1×150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630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ZA-YJV-2×4</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355</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kern w:val="0"/>
                <w:sz w:val="22"/>
                <w:szCs w:val="22"/>
              </w:rPr>
            </w:pPr>
            <w:r>
              <w:rPr>
                <w:rFonts w:hint="eastAsia" w:ascii="宋体" w:hAnsi="宋体" w:cs="宋体"/>
                <w:b/>
                <w:bCs/>
                <w:color w:val="000000"/>
                <w:kern w:val="0"/>
                <w:sz w:val="24"/>
                <w:szCs w:val="24"/>
              </w:rPr>
              <w:t>ZA-YJV-2×6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620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4</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kern w:val="0"/>
                <w:sz w:val="22"/>
                <w:szCs w:val="22"/>
              </w:rPr>
            </w:pPr>
            <w:r>
              <w:rPr>
                <w:rFonts w:hint="eastAsia" w:ascii="宋体" w:hAnsi="宋体" w:cs="宋体"/>
                <w:b/>
                <w:bCs/>
                <w:color w:val="000000"/>
                <w:kern w:val="0"/>
                <w:sz w:val="24"/>
                <w:szCs w:val="24"/>
              </w:rPr>
              <w:t>ZA-YJV-3×120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5</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ZA-YJV-3×2.5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b/>
                <w:bCs/>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20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b/>
                <w:bCs/>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6</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ZA-YJV-3×35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7</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ZA-YJV-3×6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8</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ZA-YJV-4×10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60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9</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ZA-YJV-4×16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90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10</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ZA-YJV-4×16+1×10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11</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ZA-YJV-4×25+1×16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1000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12</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kern w:val="0"/>
                <w:sz w:val="22"/>
                <w:szCs w:val="22"/>
              </w:rPr>
            </w:pPr>
            <w:r>
              <w:rPr>
                <w:rFonts w:hint="eastAsia" w:ascii="宋体" w:hAnsi="宋体" w:cs="宋体"/>
                <w:b/>
                <w:bCs/>
                <w:color w:val="000000"/>
                <w:kern w:val="0"/>
                <w:sz w:val="24"/>
                <w:szCs w:val="24"/>
              </w:rPr>
              <w:t>ZA-YJV-4×4</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650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13</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kern w:val="0"/>
                <w:sz w:val="22"/>
                <w:szCs w:val="22"/>
              </w:rPr>
            </w:pPr>
            <w:r>
              <w:rPr>
                <w:rFonts w:hint="eastAsia" w:ascii="宋体" w:hAnsi="宋体" w:cs="宋体"/>
                <w:b/>
                <w:bCs/>
                <w:color w:val="000000"/>
                <w:kern w:val="0"/>
                <w:sz w:val="24"/>
                <w:szCs w:val="24"/>
              </w:rPr>
              <w:t>ZA-YJV-4×6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150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14</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ZA-YJV-4×50+1×25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650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15</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ZA-YJV-4×95+1×50</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pPr>
            <w:r>
              <w:rPr>
                <w:rFonts w:hint="eastAsia" w:ascii="宋体" w:hAnsi="宋体" w:cs="宋体"/>
                <w:color w:val="000000"/>
                <w:kern w:val="0"/>
                <w:sz w:val="22"/>
                <w:szCs w:val="22"/>
              </w:rPr>
              <w:t>800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16</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ZA-YJV-5×16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80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17</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ZA-YJV-5×2.5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80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18</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b/>
                <w:bCs/>
                <w:color w:val="000000"/>
                <w:kern w:val="0"/>
                <w:sz w:val="24"/>
                <w:szCs w:val="24"/>
              </w:rPr>
              <w:t>ZA-YJV-5×6</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ascii="Times New Roman" w:hAnsi="Times New Roman"/>
                <w:color w:val="000000"/>
                <w:kern w:val="0"/>
                <w:sz w:val="22"/>
                <w:szCs w:val="22"/>
              </w:rPr>
            </w:pPr>
            <w:r>
              <w:rPr>
                <w:rFonts w:hint="eastAsia" w:ascii="宋体" w:hAnsi="宋体" w:cs="宋体"/>
                <w:color w:val="000000"/>
                <w:kern w:val="0"/>
                <w:sz w:val="22"/>
                <w:szCs w:val="22"/>
              </w:rPr>
              <w:t>400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r>
              <w:rPr>
                <w:rFonts w:hint="eastAsia" w:ascii="Times New Roman" w:hAnsi="Times New Roman"/>
                <w:b/>
                <w:bCs/>
                <w:color w:val="000000"/>
                <w:kern w:val="0"/>
                <w:sz w:val="22"/>
                <w:szCs w:val="22"/>
              </w:rPr>
              <w:t>三</w:t>
            </w:r>
            <w:r>
              <w:rPr>
                <w:rFonts w:ascii="Times New Roman" w:hAnsi="Times New Roman"/>
                <w:b/>
                <w:bCs/>
                <w:color w:val="000000"/>
                <w:kern w:val="0"/>
                <w:sz w:val="22"/>
                <w:szCs w:val="22"/>
              </w:rPr>
              <w:t>、</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b/>
                <w:bCs/>
                <w:color w:val="000000"/>
                <w:kern w:val="0"/>
                <w:sz w:val="22"/>
                <w:szCs w:val="22"/>
              </w:rPr>
            </w:pPr>
            <w:r>
              <w:rPr>
                <w:rFonts w:hint="eastAsia" w:ascii="Times New Roman" w:hAnsi="Times New Roman"/>
                <w:b/>
                <w:bCs/>
                <w:color w:val="000000"/>
                <w:kern w:val="0"/>
                <w:sz w:val="22"/>
                <w:szCs w:val="22"/>
              </w:rPr>
              <w:t>控制电缆</w:t>
            </w:r>
          </w:p>
        </w:tc>
        <w:tc>
          <w:tcPr>
            <w:tcW w:w="523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r>
              <w:rPr>
                <w:rFonts w:hint="eastAsia" w:ascii="Times New Roman" w:hAnsi="Times New Roman"/>
                <w:b/>
                <w:bCs/>
                <w:color w:val="000000"/>
                <w:kern w:val="0"/>
                <w:sz w:val="22"/>
                <w:szCs w:val="22"/>
              </w:rPr>
              <w:t>要求：线芯黑底白字（数字采用阿拉伯数字）</w:t>
            </w: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1</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DJYP2VP2-18×3×0.75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280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2</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DJYP2VP2-8×3×0.75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340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3</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ZA-KVV-10×2.5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4</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ZA-KVV-4×2.5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800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5</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ZA-KVV-7×2.5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2100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6</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ZA-KVVP-10×1.5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7</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ZA-KVVP-14×1.5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1000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8</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ZA-KVVP-4×1.5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3700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9</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ZA-KVVP-7×1.5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2700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r>
        <w:tblPrEx>
          <w:tblCellMar>
            <w:top w:w="0" w:type="dxa"/>
            <w:left w:w="79" w:type="dxa"/>
            <w:bottom w:w="0" w:type="dxa"/>
            <w:right w:w="79" w:type="dxa"/>
          </w:tblCellMar>
        </w:tblPrEx>
        <w:trPr>
          <w:trHeight w:val="408"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color w:val="000000"/>
                <w:kern w:val="0"/>
                <w:sz w:val="22"/>
                <w:szCs w:val="22"/>
              </w:rPr>
              <w:t>10</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b/>
                <w:bCs/>
                <w:color w:val="000000"/>
                <w:kern w:val="0"/>
                <w:sz w:val="22"/>
                <w:szCs w:val="22"/>
              </w:rPr>
            </w:pPr>
            <w:r>
              <w:rPr>
                <w:rFonts w:hint="eastAsia" w:ascii="宋体" w:hAnsi="宋体" w:cs="宋体"/>
                <w:b/>
                <w:bCs/>
                <w:color w:val="000000"/>
                <w:kern w:val="0"/>
                <w:sz w:val="24"/>
                <w:szCs w:val="24"/>
              </w:rPr>
              <w:t>RVSP-2×2×0.5</w:t>
            </w:r>
          </w:p>
        </w:tc>
        <w:tc>
          <w:tcPr>
            <w:tcW w:w="19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米</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color w:val="000000"/>
                <w:kern w:val="0"/>
                <w:sz w:val="22"/>
                <w:szCs w:val="22"/>
              </w:rPr>
            </w:pPr>
            <w:r>
              <w:rPr>
                <w:rFonts w:hint="eastAsia" w:ascii="宋体" w:hAnsi="宋体" w:cs="宋体"/>
                <w:color w:val="000000"/>
                <w:kern w:val="0"/>
                <w:sz w:val="22"/>
                <w:szCs w:val="22"/>
              </w:rPr>
              <w:t>800</w:t>
            </w:r>
          </w:p>
        </w:tc>
        <w:tc>
          <w:tcPr>
            <w:tcW w:w="158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olor w:val="000000"/>
                <w:kern w:val="0"/>
                <w:sz w:val="22"/>
                <w:szCs w:val="22"/>
              </w:rPr>
            </w:pPr>
          </w:p>
        </w:tc>
      </w:tr>
    </w:tbl>
    <w:p>
      <w:pPr>
        <w:keepNext w:val="0"/>
        <w:keepLines w:val="0"/>
        <w:pageBreakBefore w:val="0"/>
        <w:widowControl w:val="0"/>
        <w:numPr>
          <w:ilvl w:val="0"/>
          <w:numId w:val="0"/>
        </w:numPr>
        <w:kinsoku/>
        <w:wordWrap/>
        <w:overflowPunct/>
        <w:topLinePunct w:val="0"/>
        <w:autoSpaceDE/>
        <w:autoSpaceDN/>
        <w:bidi w:val="0"/>
        <w:spacing w:line="312" w:lineRule="auto"/>
        <w:ind w:firstLine="480" w:firstLineChars="200"/>
        <w:textAlignment w:val="auto"/>
      </w:pPr>
      <w:r>
        <w:rPr>
          <w:rFonts w:hint="default" w:ascii="Times New Roman" w:hAnsi="Times New Roman" w:eastAsia="宋体" w:cs="Times New Roman"/>
          <w:kern w:val="2"/>
          <w:sz w:val="24"/>
          <w:szCs w:val="24"/>
          <w:lang w:val="en-US" w:eastAsia="zh-CN" w:bidi="ar-SA"/>
        </w:rPr>
        <w:t>2、</w:t>
      </w:r>
      <w:r>
        <w:rPr>
          <w:rFonts w:hint="eastAsia" w:ascii="Times New Roman" w:hAnsi="Times New Roman"/>
          <w:sz w:val="24"/>
          <w:szCs w:val="24"/>
        </w:rPr>
        <w:t>本次</w:t>
      </w:r>
      <w:r>
        <w:rPr>
          <w:rFonts w:hint="eastAsia" w:ascii="宋体" w:hAnsi="宋体"/>
          <w:sz w:val="24"/>
          <w:szCs w:val="24"/>
        </w:rPr>
        <w:t>电缆采购投标</w:t>
      </w:r>
      <w:r>
        <w:rPr>
          <w:rFonts w:hint="eastAsia" w:ascii="宋体" w:hAnsi="宋体"/>
          <w:color w:val="0000FF"/>
          <w:kern w:val="0"/>
          <w:sz w:val="24"/>
          <w:szCs w:val="24"/>
        </w:rPr>
        <w:t>报价总额</w:t>
      </w:r>
      <w:r>
        <w:rPr>
          <w:rFonts w:hint="eastAsia" w:ascii="宋体" w:hAnsi="宋体"/>
          <w:color w:val="333333"/>
          <w:kern w:val="0"/>
          <w:sz w:val="24"/>
          <w:szCs w:val="24"/>
        </w:rPr>
        <w:t>设定</w:t>
      </w:r>
      <w:r>
        <w:rPr>
          <w:rFonts w:hint="eastAsia" w:ascii="Times New Roman" w:hAnsi="Times New Roman" w:eastAsia="宋体" w:cs="Times New Roman"/>
          <w:b/>
          <w:bCs/>
          <w:sz w:val="24"/>
          <w:szCs w:val="24"/>
        </w:rPr>
        <w:t>最高限价</w:t>
      </w:r>
      <w:r>
        <w:rPr>
          <w:rFonts w:hint="eastAsia" w:ascii="Times New Roman" w:hAnsi="Times New Roman" w:eastAsia="宋体" w:cs="Times New Roman"/>
          <w:b/>
          <w:bCs/>
          <w:sz w:val="24"/>
          <w:szCs w:val="24"/>
          <w:lang w:val="en-US" w:eastAsia="zh-CN"/>
        </w:rPr>
        <w:t>贰佰伍拾贰万元整（￥2,520,000.00）</w:t>
      </w:r>
      <w:r>
        <w:rPr>
          <w:rFonts w:hint="eastAsia" w:ascii="宋体" w:hAnsi="宋体"/>
          <w:b/>
          <w:bCs/>
          <w:color w:val="333333"/>
          <w:kern w:val="0"/>
          <w:sz w:val="24"/>
          <w:szCs w:val="24"/>
        </w:rPr>
        <w:t>，</w:t>
      </w:r>
      <w:r>
        <w:rPr>
          <w:rFonts w:hint="eastAsia" w:ascii="宋体" w:hAnsi="宋体"/>
          <w:color w:val="333333"/>
          <w:kern w:val="0"/>
          <w:sz w:val="24"/>
          <w:szCs w:val="24"/>
        </w:rPr>
        <w:t>投标报价总额不得高于最高限价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hint="eastAsia" w:ascii="Times New Roman" w:hAnsi="Times New Roman"/>
          <w:sz w:val="24"/>
          <w:szCs w:val="24"/>
          <w:lang w:val="en-US" w:eastAsia="zh-CN"/>
        </w:rPr>
        <w:t>(含工程相关方委托第三方检测费用)</w:t>
      </w:r>
      <w:r>
        <w:rPr>
          <w:rFonts w:hint="eastAsia" w:ascii="Times New Roman" w:hAnsi="Times New Roman"/>
          <w:sz w:val="24"/>
          <w:szCs w:val="24"/>
        </w:rPr>
        <w:t>、</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w:t>
      </w:r>
      <w:r>
        <w:rPr>
          <w:rFonts w:ascii="Times New Roman" w:hAnsi="Times New Roman"/>
          <w:b/>
          <w:bCs w:val="0"/>
          <w:sz w:val="24"/>
          <w:szCs w:val="24"/>
        </w:rPr>
        <w:t>固定</w:t>
      </w:r>
      <w:r>
        <w:rPr>
          <w:rFonts w:hint="eastAsia" w:ascii="Times New Roman" w:hAnsi="Times New Roman"/>
          <w:b/>
          <w:bCs w:val="0"/>
          <w:sz w:val="24"/>
          <w:szCs w:val="24"/>
        </w:rPr>
        <w:t>综合</w:t>
      </w:r>
      <w:r>
        <w:rPr>
          <w:rFonts w:ascii="Times New Roman" w:hAnsi="Times New Roman"/>
          <w:b/>
          <w:bCs w:val="0"/>
          <w:sz w:val="24"/>
          <w:szCs w:val="24"/>
        </w:rPr>
        <w:t>单价</w:t>
      </w:r>
      <w:r>
        <w:rPr>
          <w:rFonts w:ascii="Times New Roman" w:hAnsi="Times New Roman"/>
          <w:bCs/>
          <w:sz w:val="24"/>
          <w:szCs w:val="24"/>
        </w:rPr>
        <w:t>，供应期及供应量内单价不随市场价格变动而调整。</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本次招标的电缆数量为供货期内施工图纸中采购数量，实际供货数量有可能会有少许调整，以中标人根据项目实际需求通知的数量为准，最终结算数量以</w:t>
      </w:r>
      <w:r>
        <w:rPr>
          <w:rFonts w:hint="eastAsia" w:ascii="Times New Roman" w:hAnsi="Times New Roman"/>
          <w:sz w:val="24"/>
          <w:szCs w:val="24"/>
          <w:lang w:val="en-US" w:eastAsia="zh-CN"/>
        </w:rPr>
        <w:t>招标人</w:t>
      </w:r>
      <w:r>
        <w:rPr>
          <w:rFonts w:hint="eastAsia" w:ascii="Times New Roman" w:hAnsi="Times New Roman"/>
          <w:sz w:val="24"/>
          <w:szCs w:val="24"/>
        </w:rPr>
        <w:t>在工地收货现场收到的电缆数量为准。</w:t>
      </w:r>
      <w:r>
        <w:rPr>
          <w:rFonts w:hint="eastAsia" w:ascii="Times New Roman" w:hAnsi="Times New Roman"/>
          <w:color w:val="000000" w:themeColor="text1"/>
          <w:sz w:val="24"/>
          <w:szCs w:val="24"/>
        </w:rPr>
        <w:t>投标人若需去施工现场查看，可自行前往，费用自理。</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电缆</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预计从</w:t>
      </w:r>
      <w:r>
        <w:rPr>
          <w:rFonts w:ascii="Times New Roman" w:hAnsi="Times New Roman" w:eastAsiaTheme="minorEastAsia"/>
          <w:b/>
          <w:sz w:val="24"/>
          <w:szCs w:val="24"/>
          <w:u w:val="single"/>
        </w:rPr>
        <w:t>202</w:t>
      </w:r>
      <w:r>
        <w:rPr>
          <w:rFonts w:hint="eastAsia" w:ascii="Times New Roman" w:hAnsi="Times New Roman" w:eastAsiaTheme="minorEastAsia"/>
          <w:b/>
          <w:sz w:val="24"/>
          <w:szCs w:val="24"/>
          <w:u w:val="single"/>
        </w:rPr>
        <w:t>6</w:t>
      </w:r>
      <w:r>
        <w:rPr>
          <w:rFonts w:ascii="Times New Roman" w:hAnsi="Times New Roman" w:eastAsiaTheme="minorEastAsia"/>
          <w:b/>
          <w:sz w:val="24"/>
          <w:szCs w:val="24"/>
          <w:u w:val="single"/>
        </w:rPr>
        <w:t>年</w:t>
      </w:r>
      <w:r>
        <w:rPr>
          <w:rFonts w:hint="eastAsia" w:ascii="Times New Roman" w:hAnsi="Times New Roman" w:eastAsiaTheme="minorEastAsia"/>
          <w:b/>
          <w:sz w:val="24"/>
          <w:szCs w:val="24"/>
          <w:u w:val="single"/>
        </w:rPr>
        <w:t>3</w:t>
      </w:r>
      <w:r>
        <w:rPr>
          <w:rFonts w:ascii="Times New Roman" w:hAnsi="Times New Roman" w:eastAsiaTheme="minorEastAsia"/>
          <w:b/>
          <w:sz w:val="24"/>
          <w:szCs w:val="24"/>
          <w:u w:val="single"/>
        </w:rPr>
        <w:t>月</w:t>
      </w:r>
      <w:r>
        <w:rPr>
          <w:rFonts w:hint="eastAsia" w:ascii="Times New Roman" w:hAnsi="Times New Roman" w:eastAsiaTheme="minorEastAsia"/>
          <w:b/>
          <w:sz w:val="24"/>
          <w:szCs w:val="24"/>
          <w:u w:val="single"/>
        </w:rPr>
        <w:t>15</w:t>
      </w:r>
      <w:r>
        <w:rPr>
          <w:rFonts w:ascii="Times New Roman" w:hAnsi="Times New Roman" w:eastAsiaTheme="minorEastAsia"/>
          <w:b/>
          <w:sz w:val="24"/>
          <w:szCs w:val="24"/>
          <w:u w:val="single"/>
        </w:rPr>
        <w:t>日至202</w:t>
      </w:r>
      <w:r>
        <w:rPr>
          <w:rFonts w:hint="eastAsia" w:ascii="Times New Roman" w:hAnsi="Times New Roman" w:eastAsiaTheme="minorEastAsia"/>
          <w:b/>
          <w:sz w:val="24"/>
          <w:szCs w:val="24"/>
          <w:u w:val="single"/>
        </w:rPr>
        <w:t>6</w:t>
      </w:r>
      <w:r>
        <w:rPr>
          <w:rFonts w:ascii="Times New Roman" w:hAnsi="Times New Roman" w:eastAsiaTheme="minorEastAsia"/>
          <w:b/>
          <w:sz w:val="24"/>
          <w:szCs w:val="24"/>
          <w:u w:val="single"/>
        </w:rPr>
        <w:t>年</w:t>
      </w:r>
      <w:r>
        <w:rPr>
          <w:rFonts w:hint="eastAsia" w:ascii="Times New Roman" w:hAnsi="Times New Roman" w:eastAsiaTheme="minorEastAsia"/>
          <w:b/>
          <w:sz w:val="24"/>
          <w:szCs w:val="24"/>
          <w:u w:val="single"/>
        </w:rPr>
        <w:t>3</w:t>
      </w:r>
      <w:r>
        <w:rPr>
          <w:rFonts w:ascii="Times New Roman" w:hAnsi="Times New Roman" w:eastAsiaTheme="minorEastAsia"/>
          <w:b/>
          <w:sz w:val="24"/>
          <w:szCs w:val="24"/>
          <w:u w:val="single"/>
        </w:rPr>
        <w:t>月</w:t>
      </w:r>
      <w:r>
        <w:rPr>
          <w:rFonts w:hint="eastAsia" w:ascii="Times New Roman" w:hAnsi="Times New Roman" w:eastAsiaTheme="minorEastAsia"/>
          <w:b/>
          <w:sz w:val="24"/>
          <w:szCs w:val="24"/>
          <w:u w:val="single"/>
        </w:rPr>
        <w:t>22</w:t>
      </w:r>
      <w:r>
        <w:rPr>
          <w:rFonts w:ascii="Times New Roman" w:hAnsi="Times New Roman" w:eastAsiaTheme="minorEastAsia"/>
          <w:b/>
          <w:sz w:val="24"/>
          <w:szCs w:val="24"/>
          <w:u w:val="single"/>
        </w:rPr>
        <w:t>日</w:t>
      </w:r>
      <w:r>
        <w:rPr>
          <w:rFonts w:ascii="Times New Roman" w:hAnsi="Times New Roman" w:eastAsiaTheme="minorEastAsia"/>
          <w:sz w:val="24"/>
          <w:szCs w:val="24"/>
        </w:rPr>
        <w:t>，具体供货开始和结束期限以项目实际需求为准。</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秦淮新河水利枢纽改扩建工程土建施工及设备安装工程施工现场（南京雨花台天后市区，具体地址由投标人与工程项目部联系确认）。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材料、出厂试验报告</w:t>
      </w:r>
      <w:r>
        <w:rPr>
          <w:rFonts w:ascii="Times New Roman" w:hAnsi="Times New Roman"/>
          <w:sz w:val="24"/>
          <w:szCs w:val="24"/>
        </w:rPr>
        <w:t>等。</w:t>
      </w:r>
    </w:p>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8、电缆到达现场后，每种型号抽样送</w:t>
      </w:r>
      <w:r>
        <w:rPr>
          <w:rFonts w:hint="eastAsia" w:ascii="Times New Roman" w:hAnsi="Times New Roman"/>
          <w:bCs/>
          <w:spacing w:val="-6"/>
          <w:sz w:val="24"/>
          <w:szCs w:val="24"/>
        </w:rPr>
        <w:t>有资质的第三方检测机构检测，并出具检测报告。</w:t>
      </w:r>
    </w:p>
    <w:p>
      <w:pPr>
        <w:pStyle w:val="21"/>
        <w:keepNext w:val="0"/>
        <w:keepLines w:val="0"/>
        <w:pageBreakBefore w:val="0"/>
        <w:widowControl w:val="0"/>
        <w:kinsoku/>
        <w:wordWrap/>
        <w:overflowPunct/>
        <w:topLinePunct w:val="0"/>
        <w:autoSpaceDE/>
        <w:autoSpaceDN/>
        <w:bidi w:val="0"/>
        <w:spacing w:line="312" w:lineRule="auto"/>
        <w:ind w:left="40" w:firstLineChars="0"/>
        <w:textAlignment w:val="auto"/>
        <w:rPr>
          <w:b/>
          <w:bCs/>
          <w:sz w:val="24"/>
        </w:rPr>
      </w:pPr>
      <w:r>
        <w:rPr>
          <w:b/>
          <w:bCs/>
          <w:sz w:val="24"/>
        </w:rPr>
        <w:t>六、</w:t>
      </w:r>
      <w:r>
        <w:rPr>
          <w:rFonts w:hint="eastAsia"/>
          <w:b/>
          <w:bCs/>
          <w:sz w:val="24"/>
        </w:rPr>
        <w:t>技术要求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（1）参考标准</w:t>
      </w:r>
    </w:p>
    <w:p>
      <w:pPr>
        <w:pStyle w:val="7"/>
        <w:keepNext w:val="0"/>
        <w:keepLines w:val="0"/>
        <w:pageBreakBefore w:val="0"/>
        <w:widowControl w:val="0"/>
        <w:kinsoku/>
        <w:wordWrap/>
        <w:overflowPunct/>
        <w:topLinePunct w:val="0"/>
        <w:autoSpaceDE/>
        <w:autoSpaceDN/>
        <w:bidi w:val="0"/>
        <w:spacing w:after="0" w:line="312" w:lineRule="auto"/>
        <w:ind w:left="223" w:right="332" w:firstLine="420"/>
        <w:textAlignment w:val="auto"/>
        <w:rPr>
          <w:rFonts w:ascii="Times New Roman" w:hAnsi="Times New Roman" w:eastAsia="宋体" w:cs="Times New Roman"/>
          <w:sz w:val="24"/>
        </w:rPr>
      </w:pPr>
      <w:r>
        <w:rPr>
          <w:rFonts w:hint="eastAsia" w:ascii="Times New Roman" w:hAnsi="Times New Roman" w:eastAsia="宋体" w:cs="Times New Roman"/>
          <w:sz w:val="24"/>
        </w:rPr>
        <w:t>除本招标文件提出的技术规定外，所有电缆还应符合下列标准，本节的有关标准包括但不限于以下的GB标准和相应的IEC标准。若GB标准与IEC标准有不同之处，则应符合其中标准较高的一个。下述标准如有修改，按现行最新版本执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《额定电压1kV到35kV挤包绝缘电力电缆及附件》GB/T12706.2</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 xml:space="preserve">《电缆的导体》GB/T3956 </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《电缆绝缘和护套材料通用试验方法》GB/T2951</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《电线电缆电性能试验方法》GB/T3048</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《电线电缆交货盘》JB/T8137</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《电线电缆识别标志》GB6995</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《电线电缆识别标志》GB6995</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《电缆在火焰条件下燃烧试验》GB/T18380.1</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《高压电缆选用导则》JB/T8996</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《额定电压不超过0.6/1kV电缆允许短路温度导则》 IEC 60724</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《塑料绝缘控制电缆》GB/T 9330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《阻燃和耐火电线电缆或光缆通则》GB/T 19666</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《电工圆铜线》GB3953</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《电缆外护层非金属套电缆通用外护层》GB2952.3</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《电力电缆工程设计规范》GB/T50217</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《额定电压30kV及以下挤出塑料绝缘电力电缆》IEC60502</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《绝缘电缆的导体》IEC228</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《电缆及附件的冲击试验》IEC230</w:t>
      </w:r>
    </w:p>
    <w:p>
      <w:pPr>
        <w:pStyle w:val="7"/>
        <w:keepNext w:val="0"/>
        <w:keepLines w:val="0"/>
        <w:pageBreakBefore w:val="0"/>
        <w:widowControl w:val="0"/>
        <w:kinsoku/>
        <w:wordWrap/>
        <w:overflowPunct/>
        <w:topLinePunct w:val="0"/>
        <w:autoSpaceDE/>
        <w:autoSpaceDN/>
        <w:bidi w:val="0"/>
        <w:spacing w:after="0" w:line="312" w:lineRule="auto"/>
        <w:ind w:left="643"/>
        <w:textAlignment w:val="auto"/>
      </w:pPr>
      <w:r>
        <w:rPr>
          <w:rFonts w:hint="eastAsia" w:ascii="Times New Roman" w:hAnsi="Times New Roman" w:eastAsia="宋体" w:cs="Times New Roman"/>
          <w:sz w:val="24"/>
        </w:rPr>
        <w:t>《高压试验技术》IEC60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sz w:val="23"/>
        </w:rPr>
      </w:pPr>
      <w:r>
        <w:rPr>
          <w:rFonts w:hint="eastAsia" w:ascii="Times New Roman" w:hAnsi="Times New Roman" w:eastAsia="宋体" w:cs="Times New Roman"/>
          <w:sz w:val="24"/>
        </w:rPr>
        <w:t>一般使用条件</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1）使用场所户内/户外</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2）海拔高度&lt;1000m</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3）最高环境温度</w:t>
      </w:r>
      <w:r>
        <w:rPr>
          <w:rFonts w:hint="eastAsia" w:ascii="Times New Roman" w:hAnsi="Times New Roman" w:eastAsia="宋体" w:cs="Times New Roman"/>
          <w:sz w:val="24"/>
        </w:rPr>
        <w:tab/>
      </w:r>
      <w:r>
        <w:rPr>
          <w:rFonts w:hint="eastAsia" w:ascii="Times New Roman" w:hAnsi="Times New Roman" w:eastAsia="宋体" w:cs="Times New Roman"/>
          <w:sz w:val="24"/>
        </w:rPr>
        <w:t>+40℃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4）最低环境温度</w:t>
      </w:r>
      <w:r>
        <w:rPr>
          <w:rFonts w:hint="eastAsia" w:ascii="Times New Roman" w:hAnsi="Times New Roman" w:eastAsia="宋体" w:cs="Times New Roman"/>
          <w:sz w:val="24"/>
        </w:rPr>
        <w:tab/>
      </w:r>
      <w:r>
        <w:rPr>
          <w:rFonts w:hint="eastAsia" w:ascii="Times New Roman" w:hAnsi="Times New Roman" w:eastAsia="宋体" w:cs="Times New Roman"/>
          <w:sz w:val="24"/>
        </w:rPr>
        <w:t>-20℃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5）最大日温差</w:t>
      </w:r>
      <w:r>
        <w:rPr>
          <w:rFonts w:hint="eastAsia" w:ascii="Times New Roman" w:hAnsi="Times New Roman" w:eastAsia="宋体" w:cs="Times New Roman"/>
          <w:sz w:val="24"/>
        </w:rPr>
        <w:tab/>
      </w:r>
      <w:r>
        <w:rPr>
          <w:rFonts w:hint="eastAsia" w:ascii="Times New Roman" w:hAnsi="Times New Roman" w:eastAsia="宋体" w:cs="Times New Roman"/>
          <w:sz w:val="24"/>
        </w:rPr>
        <w:t>30℃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6）最高月平均相对湿度</w:t>
      </w:r>
      <w:r>
        <w:rPr>
          <w:rFonts w:hint="eastAsia" w:ascii="Times New Roman" w:hAnsi="Times New Roman" w:eastAsia="宋体" w:cs="Times New Roman"/>
          <w:sz w:val="24"/>
        </w:rPr>
        <w:tab/>
      </w:r>
      <w:r>
        <w:rPr>
          <w:rFonts w:hint="eastAsia" w:ascii="Times New Roman" w:hAnsi="Times New Roman" w:eastAsia="宋体" w:cs="Times New Roman"/>
          <w:sz w:val="24"/>
        </w:rPr>
        <w:t>90% （ 25 ℃）</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7）地震基本烈度水平加速度：0.2g ，垂直加速度0.133g</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8）电缆线芯材料：铜芯</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sz w:val="23"/>
        </w:rPr>
      </w:pPr>
      <w:r>
        <w:rPr>
          <w:rFonts w:hint="eastAsia" w:ascii="Times New Roman" w:hAnsi="Times New Roman" w:eastAsia="宋体" w:cs="Times New Roman"/>
          <w:sz w:val="24"/>
        </w:rPr>
        <w:t>9）阻燃和耐火电线电缆产品的燃烧特性应符合GB/T 19666标准相关要求。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sz w:val="23"/>
        </w:rPr>
      </w:pPr>
      <w:r>
        <w:rPr>
          <w:rFonts w:hint="eastAsia" w:ascii="Times New Roman" w:hAnsi="Times New Roman"/>
          <w:sz w:val="24"/>
        </w:rPr>
        <w:t>（2）10kV阻燃型交联聚乙烯绝缘聚氯乙烯护套电力电缆</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1）一般要求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额定电压：U0/U为8.7/15kV，系统允许最高电压为17.5kV。额定频率为50Hz。</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运行要求：电缆导体的最高额定运行温度为90℃。短路时（最长持续时间不超过5s） 电缆导体最高温度不超过250℃。单芯电缆不允许敷设在磁性管道中。</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电缆的弯曲半径：</w:t>
      </w:r>
    </w:p>
    <w:tbl>
      <w:tblPr>
        <w:tblStyle w:val="12"/>
        <w:tblW w:w="0" w:type="auto"/>
        <w:tblInd w:w="5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8"/>
        <w:gridCol w:w="1217"/>
        <w:gridCol w:w="1219"/>
        <w:gridCol w:w="1217"/>
        <w:gridCol w:w="12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768" w:type="dxa"/>
            <w:vMerge w:val="restart"/>
            <w:vAlign w:val="center"/>
          </w:tcPr>
          <w:p>
            <w:pPr>
              <w:pStyle w:val="28"/>
              <w:keepNext w:val="0"/>
              <w:keepLines w:val="0"/>
              <w:pageBreakBefore w:val="0"/>
              <w:widowControl w:val="0"/>
              <w:tabs>
                <w:tab w:val="left" w:pos="429"/>
              </w:tabs>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项</w:t>
            </w:r>
            <w:r>
              <w:rPr>
                <w:rFonts w:hint="eastAsia" w:ascii="Microsoft JhengHei" w:eastAsia="Microsoft JhengHei"/>
                <w:b/>
              </w:rPr>
              <w:tab/>
            </w:r>
            <w:r>
              <w:rPr>
                <w:rFonts w:hint="eastAsia" w:ascii="Microsoft JhengHei" w:eastAsia="Microsoft JhengHei"/>
                <w:b/>
              </w:rPr>
              <w:t>目</w:t>
            </w:r>
          </w:p>
        </w:tc>
        <w:tc>
          <w:tcPr>
            <w:tcW w:w="2436"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单芯电缆</w:t>
            </w:r>
          </w:p>
        </w:tc>
        <w:tc>
          <w:tcPr>
            <w:tcW w:w="2442"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三芯电缆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768"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2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无铠装</w:t>
            </w:r>
          </w:p>
        </w:tc>
        <w:tc>
          <w:tcPr>
            <w:tcW w:w="121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有铠装</w:t>
            </w:r>
          </w:p>
        </w:tc>
        <w:tc>
          <w:tcPr>
            <w:tcW w:w="12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无铠装</w:t>
            </w:r>
          </w:p>
        </w:tc>
        <w:tc>
          <w:tcPr>
            <w:tcW w:w="1225"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有铠装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76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安装时电缆最小弯曲半径</w:t>
            </w:r>
          </w:p>
        </w:tc>
        <w:tc>
          <w:tcPr>
            <w:tcW w:w="12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20D</w:t>
            </w:r>
          </w:p>
        </w:tc>
        <w:tc>
          <w:tcPr>
            <w:tcW w:w="121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15D</w:t>
            </w:r>
          </w:p>
        </w:tc>
        <w:tc>
          <w:tcPr>
            <w:tcW w:w="12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15D</w:t>
            </w:r>
          </w:p>
        </w:tc>
        <w:tc>
          <w:tcPr>
            <w:tcW w:w="1225"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12D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646" w:type="dxa"/>
            <w:gridSpan w:val="5"/>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注：</w:t>
            </w:r>
            <w:r>
              <w:rPr>
                <w:rFonts w:ascii="Times New Roman" w:eastAsia="Times New Roman"/>
              </w:rPr>
              <w:t>D</w:t>
            </w:r>
            <w:r>
              <w:t>为电缆外径</w:t>
            </w:r>
          </w:p>
        </w:tc>
      </w:tr>
    </w:tbl>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技术参数及要求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①导体</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导体材料应采用无氧铜杆生产，卖方应提供权威机构出具的含氧量检测报告。</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导体应采用圆形单线绞合紧压线芯，紧压系数不小于0.9，其组成、性能和外观应符合GB12706.1的规定。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导体表面应光洁，无油污，无损伤屏蔽及绝缘的毛刺和锐边，无凸起或断裂的单线。导体满足GB/T3956的规定。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导体的有效截面积不能对招标要求截面积产生负误差。</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②绝缘</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绝缘应为XLPE型，要求高质量、经过固化、能耐热、防潮、抗电晕和无孔洞。挤包在导体上的绝缘性能应符合GB12706.2的规定。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标称绝缘厚度：8.7/15kV电缆为4.5mm，绝缘厚度满足GB/T12706.2的规定。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③导体屏蔽与绝缘屏蔽</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导体屏蔽和绝缘屏蔽为交联挤包半导电层。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导体屏蔽用的半导电料（交联型）经挤包所形成的半导电层应均匀地包复在导体上， 表面应光滑，无明显绞线凸纹，不应有尖角、颗粒或擦伤的痕迹。</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导体屏蔽半导电层的标称厚度应符合有关标准的要求。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在剥离导体屏蔽时，半导电层不应有卡留在导体绞股之间的现象。</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绝缘屏蔽用的半导电料（交联型）经挤包所形成的半导电层应均匀地包覆在绝缘，表面应光滑，不应有尖角、颗粒或擦伤的痕迹。</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绝缘屏蔽用半导电层厚度应符合有关标准的规定。挤包后的绝缘屏蔽与半导电层应能容易剥离。</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④导体屏蔽、绝缘和绝缘屏蔽应采用3层共挤的工艺，其偏心度不应大于8%。</w:t>
      </w:r>
    </w:p>
    <w:p>
      <w:pPr>
        <w:pStyle w:val="7"/>
        <w:keepNext w:val="0"/>
        <w:keepLines w:val="0"/>
        <w:pageBreakBefore w:val="0"/>
        <w:widowControl w:val="0"/>
        <w:kinsoku/>
        <w:wordWrap/>
        <w:overflowPunct/>
        <w:topLinePunct w:val="0"/>
        <w:autoSpaceDE/>
        <w:autoSpaceDN/>
        <w:bidi w:val="0"/>
        <w:spacing w:after="0" w:line="312" w:lineRule="auto"/>
        <w:ind w:left="641"/>
        <w:textAlignment w:val="auto"/>
        <w:rPr>
          <w:rFonts w:ascii="Times New Roman" w:hAnsi="Times New Roman" w:eastAsia="宋体" w:cs="Times New Roman"/>
          <w:sz w:val="24"/>
        </w:rPr>
      </w:pPr>
      <w:r>
        <w:rPr>
          <w:rFonts w:hint="eastAsia" w:ascii="Times New Roman" w:hAnsi="Times New Roman" w:eastAsia="宋体" w:cs="Times New Roman"/>
          <w:sz w:val="24"/>
        </w:rPr>
        <w:t>⑤金属屏蔽采用铜带绕包时，单芯电缆铜带标称厚度0.12mm；三芯电缆铜带标称厚度0.10mm，铜带最小厚度应不小于标称厚度的90%。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⑥内衬层及填充</w:t>
      </w:r>
    </w:p>
    <w:p>
      <w:pPr>
        <w:pStyle w:val="7"/>
        <w:keepNext w:val="0"/>
        <w:keepLines w:val="0"/>
        <w:pageBreakBefore w:val="0"/>
        <w:widowControl w:val="0"/>
        <w:kinsoku/>
        <w:wordWrap/>
        <w:overflowPunct/>
        <w:topLinePunct w:val="0"/>
        <w:autoSpaceDE/>
        <w:autoSpaceDN/>
        <w:bidi w:val="0"/>
        <w:spacing w:after="0" w:line="312" w:lineRule="auto"/>
        <w:ind w:left="641"/>
        <w:textAlignment w:val="auto"/>
        <w:rPr>
          <w:rFonts w:ascii="Times New Roman" w:hAnsi="Times New Roman" w:eastAsia="宋体" w:cs="Times New Roman"/>
          <w:sz w:val="24"/>
        </w:rPr>
      </w:pPr>
      <w:r>
        <w:rPr>
          <w:rFonts w:hint="eastAsia" w:ascii="Times New Roman" w:hAnsi="Times New Roman" w:eastAsia="宋体" w:cs="Times New Roman"/>
          <w:sz w:val="24"/>
        </w:rPr>
        <w:t>缆芯间应紧密填充非吸湿性材料，成缆后缆身外形应圆整。</w:t>
      </w:r>
    </w:p>
    <w:p>
      <w:pPr>
        <w:pStyle w:val="7"/>
        <w:keepNext w:val="0"/>
        <w:keepLines w:val="0"/>
        <w:pageBreakBefore w:val="0"/>
        <w:widowControl w:val="0"/>
        <w:kinsoku/>
        <w:wordWrap/>
        <w:overflowPunct/>
        <w:topLinePunct w:val="0"/>
        <w:autoSpaceDE/>
        <w:autoSpaceDN/>
        <w:bidi w:val="0"/>
        <w:spacing w:after="0" w:line="312" w:lineRule="auto"/>
        <w:ind w:left="641"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内衬层应为挤包聚氯乙烯护套料，且其厚度应符合GB12706.2的规定。缆芯在挤包内衬前可采用合适的带子以间隙螺旋的方式绕包扎紧。</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内衬层与填充物应与电缆的工作温度相适应，并对绝缘材料无有害影响。</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⑦铠装采用双层镀锌钢带或钢丝，其结构尺寸应符合GB2952的规定。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⑧外护套应采用聚氯乙烯护套料，表面应光洁、圆整。其厚度应满足GB/T12706.2的规定。</w:t>
      </w:r>
    </w:p>
    <w:p>
      <w:pPr>
        <w:pStyle w:val="18"/>
        <w:keepNext w:val="0"/>
        <w:keepLines w:val="0"/>
        <w:pageBreakBefore w:val="0"/>
        <w:widowControl w:val="0"/>
        <w:tabs>
          <w:tab w:val="left" w:pos="95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3）试验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①电缆型式试验</w:t>
      </w:r>
    </w:p>
    <w:p>
      <w:pPr>
        <w:pStyle w:val="7"/>
        <w:keepNext w:val="0"/>
        <w:keepLines w:val="0"/>
        <w:pageBreakBefore w:val="0"/>
        <w:widowControl w:val="0"/>
        <w:kinsoku/>
        <w:wordWrap/>
        <w:overflowPunct/>
        <w:topLinePunct w:val="0"/>
        <w:autoSpaceDE/>
        <w:autoSpaceDN/>
        <w:bidi w:val="0"/>
        <w:spacing w:after="0" w:line="312" w:lineRule="auto"/>
        <w:ind w:left="223" w:right="412" w:firstLine="420"/>
        <w:textAlignment w:val="auto"/>
        <w:rPr>
          <w:rFonts w:ascii="Times New Roman" w:hAnsi="Times New Roman" w:eastAsia="宋体" w:cs="Times New Roman"/>
          <w:sz w:val="24"/>
        </w:rPr>
      </w:pPr>
      <w:r>
        <w:rPr>
          <w:rFonts w:hint="eastAsia" w:ascii="Times New Roman" w:hAnsi="Times New Roman" w:eastAsia="宋体" w:cs="Times New Roman"/>
          <w:sz w:val="24"/>
        </w:rPr>
        <w:t>供货商应根据最新的IEC有关标准提交国家级权威单位同类型产品的型式试验数据及报告。</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●弯曲试验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●局部放电试验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●tagδ测量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●热循环电压试验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●冲击电压试验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●工频耐压试验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●电缆组成部分上的其他试验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●燃烧试验（如采用阻燃类外护套的电缆，则请提供）</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②电缆出厂试验</w:t>
      </w:r>
    </w:p>
    <w:p>
      <w:pPr>
        <w:pStyle w:val="7"/>
        <w:keepNext w:val="0"/>
        <w:keepLines w:val="0"/>
        <w:pageBreakBefore w:val="0"/>
        <w:widowControl w:val="0"/>
        <w:kinsoku/>
        <w:wordWrap/>
        <w:overflowPunct/>
        <w:topLinePunct w:val="0"/>
        <w:autoSpaceDE/>
        <w:autoSpaceDN/>
        <w:bidi w:val="0"/>
        <w:spacing w:after="0" w:line="312" w:lineRule="auto"/>
        <w:ind w:left="223" w:right="332" w:firstLine="420"/>
        <w:textAlignment w:val="auto"/>
        <w:rPr>
          <w:rFonts w:ascii="Times New Roman" w:hAnsi="Times New Roman" w:eastAsia="宋体" w:cs="Times New Roman"/>
          <w:sz w:val="24"/>
        </w:rPr>
      </w:pPr>
      <w:r>
        <w:rPr>
          <w:rFonts w:hint="eastAsia" w:ascii="Times New Roman" w:hAnsi="Times New Roman" w:eastAsia="宋体" w:cs="Times New Roman"/>
          <w:sz w:val="24"/>
        </w:rPr>
        <w:t>供货商所提供的所有设备都应按照相应标准进行如下试验项目，但并不局限于下列试验项目。</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●局部放电试验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10kV电缆在环境温度下和高温下进行局部放电试验。1.73Uo（Uo=8.7kV），即15kV不大于10PC。</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●工频耐压试验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3.5Uo（10kV电缆Uo=8.7kV）5min不击穿。</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③抽样试验</w:t>
      </w:r>
    </w:p>
    <w:p>
      <w:pPr>
        <w:pStyle w:val="7"/>
        <w:keepNext w:val="0"/>
        <w:keepLines w:val="0"/>
        <w:pageBreakBefore w:val="0"/>
        <w:widowControl w:val="0"/>
        <w:kinsoku/>
        <w:wordWrap/>
        <w:overflowPunct/>
        <w:topLinePunct w:val="0"/>
        <w:autoSpaceDE/>
        <w:autoSpaceDN/>
        <w:bidi w:val="0"/>
        <w:spacing w:after="0" w:line="312" w:lineRule="auto"/>
        <w:ind w:left="643"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合同设备在发送之前供货商进行下列项目抽样试验，并向买方提供试验数据和报告。合同设备在发送到安装现场之后买方应有权对有怀疑的合同设备按下列项目进行部分或全部抽样试验，供货商可派代表对试验进行监督。</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●外观检查</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●结构尺寸的测量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●热延伸率试验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●导线电阻的测量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●电容的测量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●XLPE 绝缘水分的测量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●XLPE绝缘收缩量试验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●低烟、低毒性试验（如采用低烟低卤，低烟无卤聚烯烃护套的电缆，则请提供）</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●雷电冲击耐压试验接工频耐压试验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●tagδ测量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④现场试验</w:t>
      </w:r>
    </w:p>
    <w:p>
      <w:pPr>
        <w:pStyle w:val="7"/>
        <w:keepNext w:val="0"/>
        <w:keepLines w:val="0"/>
        <w:pageBreakBefore w:val="0"/>
        <w:widowControl w:val="0"/>
        <w:kinsoku/>
        <w:wordWrap/>
        <w:overflowPunct/>
        <w:topLinePunct w:val="0"/>
        <w:autoSpaceDE/>
        <w:autoSpaceDN/>
        <w:bidi w:val="0"/>
        <w:spacing w:after="0" w:line="312" w:lineRule="auto"/>
        <w:ind w:left="643"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在电缆及其附件投运前，按江苏省电力公司《电力设备交接和预防性试验规程》相关项目和标准进行试验。买方将在供货商派出的代表在场的情况下按4.3.1和4.3.2进行现场试验。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供货商应派出试验工程师到现场与买方工程师商定试验程序和方法。</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i.主绝缘交流电压试验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ii.护套绝缘试验（如外护套外有半导电层时）</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⑤试验汇总表和指导标准</w:t>
      </w:r>
    </w:p>
    <w:p>
      <w:pPr>
        <w:pStyle w:val="7"/>
        <w:keepNext w:val="0"/>
        <w:keepLines w:val="0"/>
        <w:pageBreakBefore w:val="0"/>
        <w:widowControl w:val="0"/>
        <w:kinsoku/>
        <w:wordWrap/>
        <w:overflowPunct/>
        <w:topLinePunct w:val="0"/>
        <w:autoSpaceDE/>
        <w:autoSpaceDN/>
        <w:bidi w:val="0"/>
        <w:spacing w:after="0" w:line="312" w:lineRule="auto"/>
        <w:ind w:left="643"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供货商将向买方提交3份试验报告和汇总表以供审查。该汇总表说明生产过程中进行所有试验所采用的指导标准和程序。</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交联聚乙稀绝缘层物理与电气性能指标应满足下表要求。</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88"/>
        <w:gridCol w:w="2672"/>
        <w:gridCol w:w="2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性能项目</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单位</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规定值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相对密度</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eastAsia="Times New Roman"/>
              </w:rPr>
            </w:pPr>
            <w:r>
              <w:rPr>
                <w:rFonts w:ascii="Times New Roman" w:eastAsia="Times New Roman"/>
              </w:rPr>
              <w:t>0.90</w:t>
            </w:r>
            <w:r>
              <w:t>～</w:t>
            </w:r>
            <w:r>
              <w:rPr>
                <w:rFonts w:ascii="Times New Roman" w:eastAsia="Times New Roman"/>
              </w:rPr>
              <w:t>0.93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N/cm</w:t>
            </w:r>
            <w:r>
              <w:rPr>
                <w:rFonts w:ascii="Times New Roman"/>
                <w:position w:val="6"/>
                <w:sz w:val="14"/>
              </w:rPr>
              <w:t>2</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伸率</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350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老化性能</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耐环境应力龟裂</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h</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脆化温度</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击穿电场强度</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kV/mm</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体积电阻系数</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eastAsia="Times New Roman"/>
              </w:rPr>
            </w:pPr>
            <w:r>
              <w:t>Ω．</w:t>
            </w:r>
            <w:r>
              <w:rPr>
                <w:rFonts w:ascii="Times New Roman" w:hAnsi="Times New Roman" w:eastAsia="Times New Roman"/>
              </w:rPr>
              <w:t>cm</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w:t>
            </w:r>
            <w:r>
              <w:t>×</w:t>
            </w:r>
            <w:r>
              <w:rPr>
                <w:rFonts w:ascii="Times New Roman" w:hAnsi="Times New Roman"/>
              </w:rPr>
              <w:t>1016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介质损耗角正切</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 xml:space="preserve">50Hz </w:t>
            </w:r>
            <w:r>
              <w:t>（室温）</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0.003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介质常数</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 xml:space="preserve">50Hz </w:t>
            </w:r>
            <w:r>
              <w:t>（室温）</w:t>
            </w: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抗臭氧性</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不龟裂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7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交联度</w:t>
            </w:r>
          </w:p>
        </w:tc>
        <w:tc>
          <w:tcPr>
            <w:tcW w:w="267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75</w:t>
            </w:r>
          </w:p>
        </w:tc>
      </w:tr>
    </w:tbl>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（4）0.6/ 1kV阻燃型交联聚乙烯绝缘聚氯乙烯护套电力电缆1）一般要求</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额定电压：U0/U为0.6/1kV，系统最高电压1.2kV。额定频率为50Hz。</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运行要求：电缆导体的最高额定温度为90℃。短路时（最长持续时间不超过5s）电缆导体最高温度不超过250℃。</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电缆敷设时允许的最小弯曲半径：</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68"/>
        <w:gridCol w:w="1110"/>
        <w:gridCol w:w="1110"/>
        <w:gridCol w:w="1110"/>
        <w:gridCol w:w="12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868"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项目</w:t>
            </w:r>
          </w:p>
        </w:tc>
        <w:tc>
          <w:tcPr>
            <w:tcW w:w="2220"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单芯电缆</w:t>
            </w:r>
          </w:p>
        </w:tc>
        <w:tc>
          <w:tcPr>
            <w:tcW w:w="2319"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多芯电缆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868"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无铠装</w:t>
            </w: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有铠装</w:t>
            </w: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无铠装</w:t>
            </w:r>
          </w:p>
        </w:tc>
        <w:tc>
          <w:tcPr>
            <w:tcW w:w="120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有铠装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86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安装时电缆最小弯曲半径</w:t>
            </w: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20D</w:t>
            </w: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15D</w:t>
            </w:r>
          </w:p>
        </w:tc>
        <w:tc>
          <w:tcPr>
            <w:tcW w:w="111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15D</w:t>
            </w:r>
          </w:p>
        </w:tc>
        <w:tc>
          <w:tcPr>
            <w:tcW w:w="120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12D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407" w:type="dxa"/>
            <w:gridSpan w:val="5"/>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注：</w:t>
            </w:r>
            <w:r>
              <w:rPr>
                <w:rFonts w:ascii="Times New Roman" w:eastAsia="Times New Roman"/>
              </w:rPr>
              <w:t>D</w:t>
            </w:r>
            <w:r>
              <w:t>为电缆外径</w:t>
            </w:r>
          </w:p>
        </w:tc>
      </w:tr>
    </w:tbl>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2)技术参数及要求</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①导体</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导体材料应采用电解铜杆生产，卖方应提供权威机构出具的含氧量检测报告。</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6平方及以下截面导体采用一类实心圆形铜导体，10平方及以上截面导体采用二类紧压绞合圆形铜导体，其组成、性能和外观符合GB/T     3956的规定。导体表面应光洁，无油污，无损伤屏蔽及绝缘的毛刺和锐边，无凸起或断裂的单线。</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导体的有效截面积满足规范要求。</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②绝缘</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绝缘材料选用硅烷交联聚乙烯绝缘料（XLPE）。 挤包在导体上的绝缘性能应符合GB12706.1的规定。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绝缘的标称厚度符合GB/T12706.1的规定，绝缘厚度平均值不小于规定的标称值。</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3)缆芯及填充物</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电缆线芯成缆后线芯间的间隙用非吸湿性柔软材料填充，缆芯以非吸湿性扎带扎紧。</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4)电缆外护套</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电缆的护套材料采用PVC/ST2型聚氯乙烯混和物，电缆的护套均匀地挤包在成缆线芯包覆层上，护套表面平整、色泽均匀。</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护套厚度符合GB/T12706.1的规定，电缆护套上任一处最小厚度不小于标称值的80%- 0.2mm。</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5)成品电缆试验要求</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成品电缆性能试验按GB/T12706.1的规定进行。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成品电缆的导体20℃时直流电阻符合GB/T3956的规定。成品电缆经3500V/5min交流电压试验不击穿。</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成品电缆绝缘及护套的机械性能等性能指标符合本规范书中表2的规定。所有电缆都能通过GB/T18380.1规定的单根垂直燃烧试验。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成品电缆外护套表面连续印有电缆型号、电压、厂名和长度等标志。标志字迹清楚， 容易辨认，耐擦，并符合GB6995.3的规定。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6)试验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①例行试验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sz w:val="23"/>
        </w:rPr>
      </w:pPr>
      <w:r>
        <w:rPr>
          <w:rFonts w:hint="eastAsia" w:ascii="Times New Roman" w:hAnsi="Times New Roman" w:eastAsia="宋体" w:cs="Times New Roman"/>
          <w:sz w:val="24"/>
        </w:rPr>
        <w:t>例行试验在每一根电缆制造长度上进行，例行试验项目如下：</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2340"/>
        <w:gridCol w:w="2125"/>
        <w:gridCol w:w="29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7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序号</w:t>
            </w:r>
          </w:p>
        </w:tc>
        <w:tc>
          <w:tcPr>
            <w:tcW w:w="23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试验项目</w:t>
            </w:r>
          </w:p>
        </w:tc>
        <w:tc>
          <w:tcPr>
            <w:tcW w:w="2125"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试验方法</w:t>
            </w:r>
          </w:p>
        </w:tc>
        <w:tc>
          <w:tcPr>
            <w:tcW w:w="299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7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w:t>
            </w:r>
          </w:p>
        </w:tc>
        <w:tc>
          <w:tcPr>
            <w:tcW w:w="23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导体直流电阻试验</w:t>
            </w:r>
          </w:p>
        </w:tc>
        <w:tc>
          <w:tcPr>
            <w:tcW w:w="2125"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GB/T3048.4</w:t>
            </w:r>
          </w:p>
        </w:tc>
        <w:tc>
          <w:tcPr>
            <w:tcW w:w="299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符合</w:t>
            </w:r>
            <w:r>
              <w:rPr>
                <w:rFonts w:ascii="Times New Roman" w:eastAsia="Times New Roman"/>
              </w:rPr>
              <w:t>GB/T3956</w:t>
            </w:r>
            <w: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7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w:t>
            </w:r>
          </w:p>
        </w:tc>
        <w:tc>
          <w:tcPr>
            <w:tcW w:w="23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电压试验</w:t>
            </w:r>
          </w:p>
        </w:tc>
        <w:tc>
          <w:tcPr>
            <w:tcW w:w="2125"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GB/T3048.8</w:t>
            </w:r>
          </w:p>
        </w:tc>
        <w:tc>
          <w:tcPr>
            <w:tcW w:w="299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3.5kV</w:t>
            </w:r>
            <w:r>
              <w:t>，</w:t>
            </w:r>
            <w:r>
              <w:rPr>
                <w:rFonts w:ascii="Times New Roman" w:eastAsia="Times New Roman"/>
              </w:rPr>
              <w:t>5min</w:t>
            </w:r>
            <w:r>
              <w:t>不击穿</w:t>
            </w:r>
          </w:p>
        </w:tc>
      </w:tr>
    </w:tbl>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②抽样试验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sz w:val="23"/>
        </w:rPr>
      </w:pPr>
      <w:r>
        <w:rPr>
          <w:rFonts w:hint="eastAsia" w:ascii="Times New Roman" w:hAnsi="Times New Roman" w:eastAsia="宋体" w:cs="Times New Roman"/>
          <w:sz w:val="24"/>
        </w:rPr>
        <w:t>抽样试验频次符合GB/T12706.1规定，试验项目如下：</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2564"/>
        <w:gridCol w:w="1983"/>
        <w:gridCol w:w="3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16"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序号</w:t>
            </w:r>
          </w:p>
        </w:tc>
        <w:tc>
          <w:tcPr>
            <w:tcW w:w="256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试验项目</w:t>
            </w:r>
          </w:p>
        </w:tc>
        <w:tc>
          <w:tcPr>
            <w:tcW w:w="198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试验方法</w:t>
            </w:r>
          </w:p>
        </w:tc>
        <w:tc>
          <w:tcPr>
            <w:tcW w:w="31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16"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w:t>
            </w:r>
          </w:p>
        </w:tc>
        <w:tc>
          <w:tcPr>
            <w:tcW w:w="256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导体检查</w:t>
            </w:r>
          </w:p>
        </w:tc>
        <w:tc>
          <w:tcPr>
            <w:tcW w:w="198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目测</w:t>
            </w:r>
          </w:p>
        </w:tc>
        <w:tc>
          <w:tcPr>
            <w:tcW w:w="31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符合</w:t>
            </w:r>
            <w:r>
              <w:rPr>
                <w:rFonts w:ascii="Times New Roman" w:eastAsia="Times New Roman"/>
              </w:rPr>
              <w:t>GB/T3956</w:t>
            </w:r>
            <w: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16"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w:t>
            </w:r>
          </w:p>
        </w:tc>
        <w:tc>
          <w:tcPr>
            <w:tcW w:w="256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尺寸检查</w:t>
            </w:r>
          </w:p>
        </w:tc>
        <w:tc>
          <w:tcPr>
            <w:tcW w:w="198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GB/T2951.1</w:t>
            </w:r>
          </w:p>
        </w:tc>
        <w:tc>
          <w:tcPr>
            <w:tcW w:w="31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符合</w:t>
            </w:r>
            <w:r>
              <w:rPr>
                <w:rFonts w:ascii="Times New Roman" w:eastAsia="Times New Roman"/>
              </w:rPr>
              <w:t>GB/T12706.1</w:t>
            </w:r>
            <w: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716"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w:t>
            </w:r>
          </w:p>
        </w:tc>
        <w:tc>
          <w:tcPr>
            <w:tcW w:w="256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XLPE</w:t>
            </w:r>
            <w:r>
              <w:t>绝缘热延伸试验</w:t>
            </w:r>
          </w:p>
        </w:tc>
        <w:tc>
          <w:tcPr>
            <w:tcW w:w="198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GB/T2951.5</w:t>
            </w:r>
          </w:p>
        </w:tc>
        <w:tc>
          <w:tcPr>
            <w:tcW w:w="3117"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符合</w:t>
            </w:r>
            <w:r>
              <w:rPr>
                <w:rFonts w:ascii="Times New Roman" w:eastAsia="Times New Roman"/>
              </w:rPr>
              <w:t>GB/T12706.1</w:t>
            </w:r>
            <w:r>
              <w:t>规定</w:t>
            </w:r>
          </w:p>
        </w:tc>
      </w:tr>
    </w:tbl>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③电缆型式试验内容及方法符合GB/T12706.1的规定。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7)包装及运输和保管</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①电缆妥善包装在符合JB/T8137规定要求的电缆盘上交货。电缆端头可靠密封，伸出盘外的电缆端头加保护罩，伸出的长度不小于300mm。</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②每盘电缆附有产品质量检验合格证，电缆盘上标明：</w:t>
      </w:r>
    </w:p>
    <w:p>
      <w:pPr>
        <w:pStyle w:val="7"/>
        <w:keepNext w:val="0"/>
        <w:keepLines w:val="0"/>
        <w:pageBreakBefore w:val="0"/>
        <w:widowControl w:val="0"/>
        <w:numPr>
          <w:ilvl w:val="0"/>
          <w:numId w:val="1"/>
        </w:numPr>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制造厂名或商标；</w:t>
      </w:r>
    </w:p>
    <w:p>
      <w:pPr>
        <w:pStyle w:val="7"/>
        <w:keepNext w:val="0"/>
        <w:keepLines w:val="0"/>
        <w:pageBreakBefore w:val="0"/>
        <w:widowControl w:val="0"/>
        <w:numPr>
          <w:ilvl w:val="0"/>
          <w:numId w:val="1"/>
        </w:numPr>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 xml:space="preserve">电缆型号及规格； </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iii.长度，m；</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iv.毛重，kg；</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v.制造日期：年月；</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vi.表示电缆盘正确滚动方向的符号；</w:t>
      </w:r>
    </w:p>
    <w:p>
      <w:pPr>
        <w:pStyle w:val="7"/>
        <w:keepNext w:val="0"/>
        <w:keepLines w:val="0"/>
        <w:pageBreakBefore w:val="0"/>
        <w:widowControl w:val="0"/>
        <w:kinsoku/>
        <w:wordWrap/>
        <w:overflowPunct/>
        <w:topLinePunct w:val="0"/>
        <w:autoSpaceDE/>
        <w:autoSpaceDN/>
        <w:bidi w:val="0"/>
        <w:spacing w:after="0" w:line="312" w:lineRule="auto"/>
        <w:ind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rPr>
        <w:t xml:space="preserve"> vii.标准编号。</w:t>
      </w:r>
    </w:p>
    <w:p>
      <w:pPr>
        <w:pStyle w:val="7"/>
        <w:keepNext w:val="0"/>
        <w:keepLines w:val="0"/>
        <w:pageBreakBefore w:val="0"/>
        <w:widowControl w:val="0"/>
        <w:kinsoku/>
        <w:wordWrap/>
        <w:overflowPunct/>
        <w:topLinePunct w:val="0"/>
        <w:autoSpaceDE/>
        <w:autoSpaceDN/>
        <w:bidi w:val="0"/>
        <w:spacing w:after="0" w:line="312" w:lineRule="auto"/>
        <w:ind w:left="0" w:leftChars="0" w:right="0" w:rightChars="0" w:firstLine="0" w:firstLineChars="0"/>
        <w:jc w:val="center"/>
        <w:textAlignment w:val="auto"/>
        <w:rPr>
          <w:rFonts w:ascii="Times New Roman" w:hAnsi="Times New Roman" w:eastAsia="宋体" w:cs="Times New Roman"/>
          <w:b/>
          <w:bCs/>
          <w:sz w:val="24"/>
        </w:rPr>
      </w:pPr>
      <w:r>
        <w:rPr>
          <w:rFonts w:hint="eastAsia" w:ascii="Times New Roman" w:hAnsi="Times New Roman" w:eastAsia="宋体" w:cs="Times New Roman"/>
          <w:b/>
          <w:bCs/>
          <w:sz w:val="24"/>
        </w:rPr>
        <w:t>额定电压0.6/1kV交联聚乙烯绝缘电力电缆（YJV）主要性能指标</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674"/>
        <w:gridCol w:w="843"/>
        <w:gridCol w:w="219"/>
        <w:gridCol w:w="2314"/>
        <w:gridCol w:w="1349"/>
        <w:gridCol w:w="21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序号</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项目</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单位</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技术指标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导体直流电阻（</w:t>
            </w:r>
            <w:r>
              <w:rPr>
                <w:rFonts w:ascii="Times New Roman" w:hAnsi="Times New Roman" w:eastAsia="Times New Roman"/>
              </w:rPr>
              <w:t>20</w:t>
            </w:r>
            <w:r>
              <w:t>℃）</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Ω</w:t>
            </w:r>
            <w:r>
              <w:rPr>
                <w:rFonts w:ascii="Times New Roman" w:hAnsi="Times New Roman"/>
              </w:rPr>
              <w:t>/km</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符合</w:t>
            </w:r>
            <w:r>
              <w:rPr>
                <w:rFonts w:ascii="Times New Roman" w:eastAsia="Times New Roman"/>
              </w:rPr>
              <w:t>B/T3956</w:t>
            </w:r>
            <w: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交流电压试验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kV/min</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3.5/5</w:t>
            </w:r>
            <w:r>
              <w:t>，不击穿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4</w:t>
            </w:r>
            <w:r>
              <w:t>小时交流电压试验（</w:t>
            </w:r>
            <w:r>
              <w:rPr>
                <w:rFonts w:ascii="Times New Roman" w:eastAsia="Times New Roman"/>
              </w:rPr>
              <w:t>4U0</w:t>
            </w:r>
            <w:r>
              <w:t>）</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kV</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2.4</w:t>
            </w:r>
            <w:r>
              <w:t>，不击穿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4</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eastAsia="Times New Roman"/>
              </w:rPr>
            </w:pPr>
            <w:r>
              <w:rPr>
                <w:rFonts w:ascii="Times New Roman" w:hAnsi="Times New Roman" w:eastAsia="Times New Roman"/>
              </w:rPr>
              <w:t>90</w:t>
            </w:r>
            <w:r>
              <w:t>℃绝缘电阻常数</w:t>
            </w:r>
            <w:r>
              <w:rPr>
                <w:rFonts w:ascii="Times New Roman" w:hAnsi="Times New Roman" w:eastAsia="Times New Roman"/>
              </w:rPr>
              <w:t>Ki</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rPr>
                <w:rFonts w:ascii="Times New Roman" w:hAnsi="Times New Roman"/>
              </w:rPr>
              <w:t>M</w:t>
            </w:r>
            <w:r>
              <w:t>Ω</w:t>
            </w:r>
            <w:r>
              <w:rPr>
                <w:rFonts w:ascii="Times New Roman" w:hAnsi="Times New Roman"/>
              </w:rPr>
              <w:t>.km</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5</w:t>
            </w:r>
          </w:p>
        </w:tc>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绝缘机械物理性能</w:t>
            </w:r>
          </w:p>
        </w:tc>
        <w:tc>
          <w:tcPr>
            <w:tcW w:w="1062"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sz w:val="19"/>
              </w:rPr>
            </w:pPr>
          </w:p>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老化前</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sz w:val="19"/>
              </w:rPr>
            </w:pPr>
          </w:p>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老化后</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抗张强度变化率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断裂伸长率变化率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热延伸试验</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延伸率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永久变形</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收缩试验</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收缩率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吸水试验</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重量变化</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mg/cm</w:t>
            </w:r>
            <w:r>
              <w:rPr>
                <w:rFonts w:ascii="Times New Roman"/>
                <w:position w:val="6"/>
                <w:sz w:val="14"/>
              </w:rPr>
              <w:t>2</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6</w:t>
            </w:r>
          </w:p>
        </w:tc>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护套机械物理性能</w:t>
            </w:r>
          </w:p>
        </w:tc>
        <w:tc>
          <w:tcPr>
            <w:tcW w:w="1062"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老化前</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老化后</w:t>
            </w: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抗张强度变化率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062"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31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断裂伸长率变化率</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7</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聚氯乙烯护套高温压力试验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试验温度（偏差±</w:t>
            </w:r>
            <w:r>
              <w:rPr>
                <w:rFonts w:ascii="Times New Roman" w:hAnsi="Times New Roman" w:eastAsia="Times New Roman"/>
              </w:rPr>
              <w:t>2</w:t>
            </w:r>
            <w:r>
              <w:t>℃）</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压痕深度最大</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8</w:t>
            </w:r>
          </w:p>
        </w:tc>
        <w:tc>
          <w:tcPr>
            <w:tcW w:w="1517" w:type="dxa"/>
            <w:gridSpan w:val="2"/>
            <w:vMerge w:val="restart"/>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聚氯乙烯护套低温试验</w:t>
            </w:r>
          </w:p>
        </w:tc>
        <w:tc>
          <w:tcPr>
            <w:tcW w:w="2533"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聚氯乙烯护套卷绕试验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517"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533"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聚氯乙烯护套拉伸试验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1517"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2"/>
                <w:szCs w:val="2"/>
              </w:rPr>
            </w:pPr>
          </w:p>
        </w:tc>
        <w:tc>
          <w:tcPr>
            <w:tcW w:w="2533" w:type="dxa"/>
            <w:gridSpan w:val="2"/>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聚氯乙烯护套冲击试验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9</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聚氯乙烯护套抗开裂试验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674"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10</w:t>
            </w:r>
          </w:p>
        </w:tc>
        <w:tc>
          <w:tcPr>
            <w:tcW w:w="4050" w:type="dxa"/>
            <w:gridSpan w:val="4"/>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聚氯乙烯护套的不延燃试验</w:t>
            </w:r>
          </w:p>
        </w:tc>
        <w:tc>
          <w:tcPr>
            <w:tcW w:w="1349"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w:t>
            </w:r>
          </w:p>
        </w:tc>
        <w:tc>
          <w:tcPr>
            <w:tcW w:w="2191"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通过</w:t>
            </w:r>
          </w:p>
        </w:tc>
      </w:tr>
    </w:tbl>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（5）额定电压450/750V阻燃型聚氯乙烯绝缘聚氯乙烯护套控制电缆</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一般要求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额定电压：额定电压U0/U为450/750V。</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运行要求：电缆导体的长期允许工作温度为70℃，非铠装电缆最小弯曲半径为电缆外径的6倍，铠装电缆最小弯曲半径为电缆外径的12倍。</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技术参数</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①导体</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电缆导体性能符合GB/T 9330  和GB/T3956的规定。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导体表面光洁、无油污、无损伤绝缘的毛刺、锐边及凸起或断裂的单线。</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②绝缘</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绝缘紧密地挤包在导体上，且容易剥离而不损伤绝缘体、导体，绝缘表面平整、色泽均匀，绝缘层的横断面上无目力可见的气泡和砂眼等缺陷。</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绝缘采用PVC-I1型聚氯乙烯混和物，绝缘厚度的平均值不小于GB/T 9330 中规定的标称值，绝缘的最薄点厚度不小于标称值。</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绝缘线芯的颜色识别采用颜色标志或数字标志，并符合GB6995.4的规定。</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③成缆</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绝缘线芯最外层的成缆方向为右向，绞合节距不大于绞合外径的20倍。成缆缆芯用合适的非吸湿性扎带扎紧。</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④屏蔽</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屏蔽型电缆采用铜丝编织屏蔽，铜带厚度不小于0.05mm，重叠绕包搭盖率不小于15%。</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屏蔽层外绕包非吸湿性扎带。</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⑤护套</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护套紧密地挤包在成缆线芯上或屏蔽包覆层上，且容易剥离而不损伤绝缘，护套表面光洁、色泽均匀。</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护套采用PVC-S1型聚氯乙烯混和物，护套厚度的平均值不小于GB9330.2中相近型号规格的标称值，护套最薄点的厚度满足规范要求。</w:t>
      </w:r>
    </w:p>
    <w:p>
      <w:pPr>
        <w:pStyle w:val="18"/>
        <w:keepNext w:val="0"/>
        <w:keepLines w:val="0"/>
        <w:pageBreakBefore w:val="0"/>
        <w:widowControl w:val="0"/>
        <w:tabs>
          <w:tab w:val="left" w:pos="1169"/>
        </w:tabs>
        <w:kinsoku/>
        <w:wordWrap/>
        <w:overflowPunct/>
        <w:topLinePunct w:val="0"/>
        <w:autoSpaceDE/>
        <w:autoSpaceDN/>
        <w:bidi w:val="0"/>
        <w:spacing w:line="312" w:lineRule="auto"/>
        <w:ind w:left="420" w:leftChars="200" w:firstLine="240" w:firstLineChars="100"/>
        <w:jc w:val="left"/>
        <w:textAlignment w:val="auto"/>
        <w:rPr>
          <w:rFonts w:ascii="Times New Roman" w:hAnsi="Times New Roman"/>
          <w:sz w:val="24"/>
        </w:rPr>
      </w:pPr>
      <w:r>
        <w:rPr>
          <w:rFonts w:hint="eastAsia" w:ascii="Times New Roman" w:hAnsi="Times New Roman"/>
          <w:sz w:val="24"/>
        </w:rPr>
        <w:t>3）试验要求</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成品电缆能经受5min3000V的交流电压试验而不击穿。</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20℃时导体的直流电阻符合GB/T3956和GB/T 9330  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70℃时绝缘电阻符合GB/T 9330  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成品电缆能通过GB/T18380.1中单根垂直燃烧试验。</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成品电缆按GB/T 9330 中的规定进行检验，成品电缆的主要性能指标符合本技术标准和要求书中表1的规定。</w:t>
      </w:r>
    </w:p>
    <w:p>
      <w:pPr>
        <w:pStyle w:val="7"/>
        <w:keepNext w:val="0"/>
        <w:keepLines w:val="0"/>
        <w:pageBreakBefore w:val="0"/>
        <w:widowControl w:val="0"/>
        <w:kinsoku/>
        <w:wordWrap/>
        <w:overflowPunct/>
        <w:topLinePunct w:val="0"/>
        <w:autoSpaceDE/>
        <w:autoSpaceDN/>
        <w:bidi w:val="0"/>
        <w:spacing w:after="0" w:line="312" w:lineRule="auto"/>
        <w:ind w:left="643"/>
        <w:textAlignment w:val="auto"/>
        <w:rPr>
          <w:rFonts w:ascii="Times New Roman" w:hAnsi="Times New Roman" w:eastAsia="宋体" w:cs="Times New Roman"/>
          <w:sz w:val="24"/>
        </w:rPr>
      </w:pPr>
      <w:r>
        <w:rPr>
          <w:rFonts w:hint="eastAsia" w:ascii="Times New Roman" w:hAnsi="Times New Roman" w:eastAsia="宋体" w:cs="Times New Roman"/>
          <w:sz w:val="24"/>
        </w:rPr>
        <w:t>成品电缆的表面印有制造厂名、产品型号、额定电压和尺码的连续标志，印刷标志符合GB6995.3的规定。</w:t>
      </w:r>
    </w:p>
    <w:p>
      <w:pPr>
        <w:pStyle w:val="7"/>
        <w:keepNext w:val="0"/>
        <w:keepLines w:val="0"/>
        <w:pageBreakBefore w:val="0"/>
        <w:widowControl w:val="0"/>
        <w:kinsoku/>
        <w:wordWrap/>
        <w:overflowPunct/>
        <w:topLinePunct w:val="0"/>
        <w:autoSpaceDE/>
        <w:autoSpaceDN/>
        <w:bidi w:val="0"/>
        <w:spacing w:after="0" w:line="312" w:lineRule="auto"/>
        <w:ind w:left="0" w:leftChars="0" w:right="0" w:rightChars="0" w:firstLine="0" w:firstLineChars="0"/>
        <w:jc w:val="center"/>
        <w:textAlignment w:val="auto"/>
        <w:rPr>
          <w:rFonts w:ascii="Times New Roman" w:hAnsi="Times New Roman" w:eastAsia="宋体" w:cs="Times New Roman"/>
          <w:b/>
          <w:bCs/>
          <w:sz w:val="24"/>
        </w:rPr>
      </w:pPr>
      <w:r>
        <w:rPr>
          <w:rFonts w:hint="eastAsia" w:ascii="Times New Roman" w:hAnsi="Times New Roman" w:eastAsia="宋体" w:cs="Times New Roman"/>
          <w:b/>
          <w:bCs/>
          <w:sz w:val="24"/>
        </w:rPr>
        <w:t>额定电压450/750V聚氯乙烯绝缘控制电缆（KVV、KVVP）主要性能</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3488"/>
        <w:gridCol w:w="1192"/>
        <w:gridCol w:w="2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Header/>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序号</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项目</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单位</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Microsoft JhengHei" w:eastAsia="Microsoft JhengHei"/>
                <w:b/>
              </w:rPr>
            </w:pPr>
            <w:r>
              <w:rPr>
                <w:rFonts w:hint="eastAsia" w:ascii="Microsoft JhengHei" w:eastAsia="Microsoft JhengHei"/>
                <w:b/>
              </w:rPr>
              <w:t>技术指标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主要电性能</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sz w:val="19"/>
              </w:rPr>
            </w:pPr>
          </w:p>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1.1</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导体直流电阻（</w:t>
            </w:r>
            <w:r>
              <w:rPr>
                <w:rFonts w:ascii="Times New Roman" w:hAnsi="Times New Roman" w:eastAsia="Times New Roman"/>
              </w:rPr>
              <w:t>+20</w:t>
            </w:r>
            <w:r>
              <w:t>℃时）</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sz w:val="16"/>
              </w:rPr>
            </w:pPr>
            <w:r>
              <w:t>符合</w:t>
            </w:r>
            <w:r>
              <w:rPr>
                <w:rFonts w:ascii="Times New Roman" w:eastAsia="Times New Roman"/>
              </w:rPr>
              <w:t>GB/T3956</w:t>
            </w:r>
          </w:p>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eastAsia="Times New Roman"/>
              </w:rPr>
            </w:pPr>
            <w:r>
              <w:t>或</w:t>
            </w:r>
            <w:r>
              <w:rPr>
                <w:rFonts w:ascii="Times New Roman" w:eastAsia="Times New Roman"/>
              </w:rPr>
              <w:t>GB/T 9330</w:t>
            </w:r>
            <w:r>
              <w:t>的规定</w:t>
            </w:r>
            <w:r>
              <w:rPr>
                <w:rFonts w:ascii="Times New Roman" w:eastAsia="Times New Roma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1.2</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eastAsia="Times New Roman"/>
              </w:rPr>
              <w:t>5min</w:t>
            </w:r>
            <w:r>
              <w:t>交流电压试验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V</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eastAsia="Times New Roman"/>
              </w:rPr>
            </w:pPr>
            <w:r>
              <w:t>符合</w:t>
            </w:r>
            <w:r>
              <w:rPr>
                <w:rFonts w:ascii="Times New Roman" w:eastAsia="Times New Roman"/>
              </w:rPr>
              <w:t>GB/T 9330</w:t>
            </w:r>
            <w:r>
              <w:t>的规定</w:t>
            </w:r>
            <w:r>
              <w:rPr>
                <w:rFonts w:ascii="Times New Roman" w:eastAsia="Times New Roma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1.3</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rPr>
                <w:rFonts w:ascii="Times New Roman" w:hAnsi="Times New Roman" w:eastAsia="Times New Roman"/>
              </w:rPr>
              <w:t>70</w:t>
            </w:r>
            <w:r>
              <w:t>℃最小绝缘电阻</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rPr>
                <w:rFonts w:ascii="Times New Roman" w:hAnsi="Times New Roman"/>
              </w:rPr>
              <w:t>M</w:t>
            </w:r>
            <w:r>
              <w:rPr>
                <w:rFonts w:ascii="Symbol" w:hAnsi="Symbol"/>
              </w:rPr>
              <w:t></w:t>
            </w:r>
            <w:r>
              <w:rPr>
                <w:rFonts w:ascii="Times New Roman" w:hAnsi="Times New Roman"/>
              </w:rPr>
              <w:t>.km</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eastAsia="Times New Roman"/>
              </w:rPr>
            </w:pPr>
            <w:r>
              <w:t>符合</w:t>
            </w:r>
            <w:r>
              <w:rPr>
                <w:rFonts w:ascii="Times New Roman" w:eastAsia="Times New Roman"/>
              </w:rPr>
              <w:t>GB/T 9330</w:t>
            </w:r>
            <w:r>
              <w:t>的规定</w:t>
            </w:r>
            <w:r>
              <w:rPr>
                <w:rFonts w:ascii="Times New Roman" w:eastAsia="Times New Roma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绝缘物理机械性能</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2.1</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老化前抗张强度</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2.2</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老化后抗张强度</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抗张强度变化率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断裂伸长率变化率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2.3</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失重试验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mg/cm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2.4</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抗开裂试验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2.5</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高温压力试验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2.6</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低温试验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卷绕试验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冲击试验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护套物理机械性能</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3.1</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老化前抗张强度</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3.2</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老化后抗张强度</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N/mm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抗张强度变化率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断裂伸长率变化率</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3.3</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失重试验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14"/>
              </w:rPr>
            </w:pPr>
            <w:r>
              <w:rPr>
                <w:rFonts w:ascii="Times New Roman"/>
              </w:rPr>
              <w:t>mg/cm</w:t>
            </w:r>
            <w:r>
              <w:rPr>
                <w:rFonts w:ascii="Times New Roman"/>
                <w:position w:val="6"/>
                <w:sz w:val="14"/>
              </w:rPr>
              <w:t>2</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3.4</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抗开裂试验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3.5</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高温压力试验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3.6</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低温试验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卷绕试验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拉伸试验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hAnsi="Times New Roman"/>
              </w:rPr>
            </w:pPr>
            <w:r>
              <w:t>≥</w:t>
            </w:r>
            <w:r>
              <w:rPr>
                <w:rFonts w:ascii="Times New Roman" w:hAnsi="Times New Roma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sz w:val="20"/>
              </w:rPr>
            </w:pP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冲击试验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不开裂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40"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3.7</w:t>
            </w:r>
          </w:p>
        </w:tc>
        <w:tc>
          <w:tcPr>
            <w:tcW w:w="3488"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电缆的不延燃试验</w:t>
            </w:r>
          </w:p>
        </w:tc>
        <w:tc>
          <w:tcPr>
            <w:tcW w:w="1192"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rPr>
                <w:rFonts w:ascii="Times New Roman"/>
              </w:rPr>
            </w:pPr>
            <w:r>
              <w:rPr>
                <w:rFonts w:ascii="Times New Roman"/>
              </w:rPr>
              <w:t>_</w:t>
            </w:r>
          </w:p>
        </w:tc>
        <w:tc>
          <w:tcPr>
            <w:tcW w:w="2993" w:type="dxa"/>
            <w:vAlign w:val="center"/>
          </w:tcPr>
          <w:p>
            <w:pPr>
              <w:pStyle w:val="28"/>
              <w:keepNext w:val="0"/>
              <w:keepLines w:val="0"/>
              <w:pageBreakBefore w:val="0"/>
              <w:widowControl w:val="0"/>
              <w:kinsoku/>
              <w:wordWrap/>
              <w:overflowPunct/>
              <w:topLinePunct w:val="0"/>
              <w:autoSpaceDE/>
              <w:autoSpaceDN/>
              <w:bidi w:val="0"/>
              <w:adjustRightInd/>
              <w:snapToGrid/>
              <w:spacing w:before="0" w:line="260" w:lineRule="exact"/>
              <w:ind w:left="0" w:leftChars="0" w:right="0" w:rightChars="0" w:firstLine="0" w:firstLineChars="0"/>
              <w:jc w:val="center"/>
              <w:textAlignment w:val="auto"/>
            </w:pPr>
            <w:r>
              <w:t>不延燃</w:t>
            </w:r>
          </w:p>
        </w:tc>
      </w:tr>
    </w:tbl>
    <w:p>
      <w:pPr>
        <w:pStyle w:val="21"/>
        <w:keepNext w:val="0"/>
        <w:keepLines w:val="0"/>
        <w:pageBreakBefore w:val="0"/>
        <w:widowControl w:val="0"/>
        <w:shd w:val="clear"/>
        <w:kinsoku/>
        <w:wordWrap/>
        <w:overflowPunct/>
        <w:topLinePunct w:val="0"/>
        <w:autoSpaceDE/>
        <w:autoSpaceDN/>
        <w:bidi w:val="0"/>
        <w:spacing w:line="312" w:lineRule="auto"/>
        <w:ind w:left="40" w:firstLineChars="0"/>
        <w:textAlignment w:val="auto"/>
        <w:rPr>
          <w:b/>
          <w:bCs/>
          <w:sz w:val="24"/>
        </w:rPr>
      </w:pPr>
      <w:r>
        <w:rPr>
          <w:rFonts w:hint="eastAsia"/>
          <w:b/>
          <w:bCs/>
          <w:sz w:val="24"/>
        </w:rPr>
        <w:t>七</w:t>
      </w:r>
      <w:r>
        <w:rPr>
          <w:b/>
          <w:bCs/>
          <w:sz w:val="24"/>
        </w:rPr>
        <w:t>、结算和付款方式</w:t>
      </w:r>
    </w:p>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ascii="Times New Roman" w:hAnsi="Times New Roman"/>
          <w:sz w:val="24"/>
          <w:szCs w:val="24"/>
        </w:rPr>
      </w:pPr>
      <w:r>
        <w:rPr>
          <w:rFonts w:hint="eastAsia" w:ascii="Times New Roman" w:hAnsi="Times New Roman"/>
          <w:color w:val="000000" w:themeColor="text1"/>
          <w:sz w:val="24"/>
          <w:szCs w:val="24"/>
        </w:rPr>
        <w:t>电缆运送到招标人项目施工现场经业主、监理验收合格，双方办理结算手续，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color w:val="000000" w:themeColor="text1"/>
          <w:sz w:val="24"/>
          <w:szCs w:val="24"/>
        </w:rPr>
        <w:t>电缆</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keepNext w:val="0"/>
        <w:keepLines w:val="0"/>
        <w:pageBreakBefore w:val="0"/>
        <w:widowControl w:val="0"/>
        <w:shd w:val="clear" w:color="auto"/>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keepNext w:val="0"/>
        <w:keepLines w:val="0"/>
        <w:pageBreakBefore w:val="0"/>
        <w:widowControl w:val="0"/>
        <w:numPr>
          <w:ilvl w:val="0"/>
          <w:numId w:val="0"/>
        </w:numPr>
        <w:shd w:val="clear" w:color="auto"/>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ascii="Times New Roman" w:hAnsi="Times New Roman" w:eastAsia="宋体" w:cs="Times New Roman"/>
          <w:kern w:val="2"/>
          <w:sz w:val="24"/>
          <w:szCs w:val="24"/>
          <w:lang w:val="en-US" w:eastAsia="zh-CN" w:bidi="ar-SA"/>
        </w:rPr>
        <w:t>3、</w:t>
      </w:r>
      <w:r>
        <w:rPr>
          <w:rFonts w:ascii="Times New Roman" w:hAnsi="Times New Roman"/>
          <w:sz w:val="24"/>
          <w:szCs w:val="24"/>
        </w:rPr>
        <w:t>付款方式</w:t>
      </w:r>
    </w:p>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本次采购签订合同后可支付中标人20%的预付款，中标人必须提供相等金额的预付款担保</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b/>
          <w:bCs/>
          <w:sz w:val="24"/>
          <w:szCs w:val="24"/>
        </w:rPr>
        <w:t>必须是</w:t>
      </w:r>
      <w:r>
        <w:rPr>
          <w:rFonts w:hint="eastAsia" w:ascii="Times New Roman" w:hAnsi="Times New Roman" w:cs="Times New Roman" w:eastAsiaTheme="minorEastAsia"/>
          <w:b/>
          <w:bCs/>
          <w:sz w:val="24"/>
          <w:szCs w:val="24"/>
          <w:lang w:val="en-US" w:eastAsia="zh-CN"/>
        </w:rPr>
        <w:t>招标人</w:t>
      </w:r>
      <w:r>
        <w:rPr>
          <w:rFonts w:hint="default" w:ascii="Times New Roman" w:hAnsi="Times New Roman" w:cs="Times New Roman" w:eastAsiaTheme="minorEastAsia"/>
          <w:b/>
          <w:bCs/>
          <w:sz w:val="24"/>
          <w:szCs w:val="24"/>
        </w:rPr>
        <w:t>认可的银行保函，不接受保险保函或其他形式的担保</w:t>
      </w:r>
      <w:r>
        <w:rPr>
          <w:rFonts w:hint="default" w:ascii="Times New Roman" w:hAnsi="Times New Roman" w:cs="Times New Roman" w:eastAsiaTheme="minorEastAsia"/>
          <w:sz w:val="24"/>
          <w:szCs w:val="24"/>
        </w:rPr>
        <w:t>）</w:t>
      </w:r>
      <w:r>
        <w:rPr>
          <w:rFonts w:hint="default" w:ascii="Times New Roman" w:hAnsi="Times New Roman" w:cs="Times New Roman"/>
          <w:sz w:val="24"/>
          <w:szCs w:val="24"/>
        </w:rPr>
        <w:t>，中标人无法提供担保可放弃预付款。</w:t>
      </w:r>
      <w:r>
        <w:rPr>
          <w:rFonts w:hint="eastAsia" w:ascii="Times New Roman" w:hAnsi="Times New Roman" w:cs="Times New Roman"/>
          <w:sz w:val="24"/>
          <w:szCs w:val="24"/>
          <w:lang w:val="en-US" w:eastAsia="zh-CN"/>
        </w:rPr>
        <w:t>招标人</w:t>
      </w:r>
      <w:r>
        <w:rPr>
          <w:rFonts w:hint="default" w:ascii="Times New Roman" w:hAnsi="Times New Roman" w:cs="Times New Roman"/>
          <w:sz w:val="24"/>
          <w:szCs w:val="24"/>
        </w:rPr>
        <w:t>根据审核无误的最终结算单并在收到</w:t>
      </w:r>
      <w:r>
        <w:rPr>
          <w:rFonts w:hint="eastAsia" w:ascii="Times New Roman" w:hAnsi="Times New Roman" w:cs="Times New Roman"/>
          <w:sz w:val="24"/>
          <w:szCs w:val="24"/>
          <w:lang w:val="en-US" w:eastAsia="zh-CN"/>
        </w:rPr>
        <w:t>供货方</w:t>
      </w:r>
      <w:r>
        <w:rPr>
          <w:rFonts w:hint="default" w:ascii="Times New Roman" w:hAnsi="Times New Roman" w:cs="Times New Roman"/>
          <w:sz w:val="24"/>
          <w:szCs w:val="24"/>
        </w:rPr>
        <w:t>结算价款等额增值税专用发票、</w:t>
      </w:r>
      <w:r>
        <w:rPr>
          <w:rFonts w:hint="default" w:ascii="Times New Roman" w:hAnsi="Times New Roman" w:cs="Times New Roman"/>
          <w:color w:val="000000" w:themeColor="text1"/>
          <w:sz w:val="24"/>
          <w:szCs w:val="24"/>
        </w:rPr>
        <w:t>质量证明书等资料后，货到现场经验收后付至最终结算价的85%（含预付款），供电局验收供电以后付至最终结算价总额的95%，余款5%作为质保金至结算起满一年后一个月内付清。支付款项前，</w:t>
      </w:r>
      <w:r>
        <w:rPr>
          <w:rFonts w:hint="eastAsia" w:ascii="Times New Roman" w:hAnsi="Times New Roman" w:cs="Times New Roman"/>
          <w:color w:val="000000" w:themeColor="text1"/>
          <w:sz w:val="24"/>
          <w:szCs w:val="24"/>
          <w:lang w:val="en-US" w:eastAsia="zh-CN"/>
        </w:rPr>
        <w:t>供货方</w:t>
      </w:r>
      <w:r>
        <w:rPr>
          <w:rFonts w:hint="default" w:ascii="Times New Roman" w:hAnsi="Times New Roman" w:cs="Times New Roman"/>
          <w:sz w:val="24"/>
          <w:szCs w:val="24"/>
        </w:rPr>
        <w:t>须按付款额开具并加盖财务专用章的收款收据。</w:t>
      </w:r>
    </w:p>
    <w:p>
      <w:pPr>
        <w:keepNext w:val="0"/>
        <w:keepLines w:val="0"/>
        <w:pageBreakBefore w:val="0"/>
        <w:widowControl w:val="0"/>
        <w:shd w:val="clear"/>
        <w:kinsoku/>
        <w:wordWrap/>
        <w:overflowPunct/>
        <w:topLinePunct w:val="0"/>
        <w:autoSpaceDE/>
        <w:autoSpaceDN/>
        <w:bidi w:val="0"/>
        <w:adjustRightInd w:val="0"/>
        <w:snapToGrid w:val="0"/>
        <w:spacing w:line="312" w:lineRule="auto"/>
        <w:ind w:left="40" w:firstLine="482" w:firstLineChars="200"/>
        <w:textAlignment w:val="auto"/>
        <w:rPr>
          <w:rFonts w:hint="eastAsia" w:ascii="Times New Roman" w:hAnsi="Times New Roman" w:eastAsia="宋体" w:cs="Times New Roman"/>
          <w:b/>
          <w:sz w:val="24"/>
          <w:szCs w:val="24"/>
        </w:rPr>
      </w:pPr>
      <w:r>
        <w:rPr>
          <w:rFonts w:hint="eastAsia" w:ascii="Times New Roman" w:hAnsi="Times New Roman" w:eastAsia="宋体" w:cs="Times New Roman"/>
          <w:b/>
          <w:sz w:val="24"/>
          <w:szCs w:val="24"/>
        </w:rPr>
        <w:t>八、招标文件的澄清</w:t>
      </w:r>
    </w:p>
    <w:p>
      <w:pPr>
        <w:keepNext w:val="0"/>
        <w:keepLines w:val="0"/>
        <w:pageBreakBefore w:val="0"/>
        <w:widowControl w:val="0"/>
        <w:shd w:val="clear" w:color="auto"/>
        <w:kinsoku/>
        <w:wordWrap/>
        <w:overflowPunct/>
        <w:topLinePunct w:val="0"/>
        <w:autoSpaceDE/>
        <w:autoSpaceDN/>
        <w:bidi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pPr>
        <w:keepNext w:val="0"/>
        <w:keepLines w:val="0"/>
        <w:pageBreakBefore w:val="0"/>
        <w:widowControl w:val="0"/>
        <w:shd w:val="clear"/>
        <w:kinsoku/>
        <w:wordWrap/>
        <w:overflowPunct/>
        <w:topLinePunct w:val="0"/>
        <w:autoSpaceDE/>
        <w:autoSpaceDN/>
        <w:bidi w:val="0"/>
        <w:adjustRightInd w:val="0"/>
        <w:snapToGrid w:val="0"/>
        <w:spacing w:line="312" w:lineRule="auto"/>
        <w:ind w:left="40" w:firstLine="482" w:firstLineChars="200"/>
        <w:textAlignment w:val="auto"/>
        <w:rPr>
          <w:rFonts w:ascii="Times New Roman" w:hAnsi="Times New Roman"/>
          <w:b/>
          <w:sz w:val="24"/>
          <w:szCs w:val="24"/>
        </w:rPr>
      </w:pPr>
      <w:r>
        <w:rPr>
          <w:rFonts w:hint="eastAsia" w:ascii="Times New Roman" w:hAnsi="Times New Roman"/>
          <w:b/>
          <w:sz w:val="24"/>
          <w:szCs w:val="24"/>
        </w:rPr>
        <w:t>九</w:t>
      </w:r>
      <w:r>
        <w:rPr>
          <w:rFonts w:ascii="Times New Roman" w:hAnsi="Times New Roman"/>
          <w:b/>
          <w:sz w:val="24"/>
          <w:szCs w:val="24"/>
        </w:rPr>
        <w:t>、投标文件的编制</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textAlignment w:val="auto"/>
        <w:rPr>
          <w:rFonts w:ascii="Times New Roman" w:hAnsi="Times New Roman"/>
          <w:b/>
          <w:sz w:val="24"/>
          <w:szCs w:val="24"/>
        </w:rPr>
      </w:pPr>
      <w:r>
        <w:rPr>
          <w:rFonts w:hint="eastAsia" w:ascii="Times New Roman" w:hAnsi="Times New Roman"/>
          <w:b/>
          <w:sz w:val="24"/>
          <w:szCs w:val="24"/>
        </w:rPr>
        <w:t>十</w:t>
      </w:r>
      <w:r>
        <w:rPr>
          <w:rFonts w:ascii="Times New Roman" w:hAnsi="Times New Roman"/>
          <w:b/>
          <w:sz w:val="24"/>
          <w:szCs w:val="24"/>
        </w:rPr>
        <w:t>、投标文件组成</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1、投标文件封面（附件1）</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5、授权委托书（见附件5）</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7、厂家营业执照、工业产品生产许可证、资质证书、电缆厂盖章的经销商证明资料</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8、投标保证金（汇款凭证）</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textAlignment w:val="auto"/>
        <w:rPr>
          <w:rFonts w:ascii="Times New Roman" w:hAnsi="Times New Roman"/>
          <w:b/>
          <w:sz w:val="24"/>
          <w:szCs w:val="24"/>
        </w:rPr>
      </w:pPr>
      <w:r>
        <w:rPr>
          <w:rFonts w:hint="eastAsia" w:ascii="Times New Roman" w:hAnsi="Times New Roman"/>
          <w:b/>
          <w:sz w:val="24"/>
          <w:szCs w:val="24"/>
        </w:rPr>
        <w:t>十一</w:t>
      </w:r>
      <w:r>
        <w:rPr>
          <w:rFonts w:ascii="Times New Roman" w:hAnsi="Times New Roman"/>
          <w:b/>
          <w:sz w:val="24"/>
          <w:szCs w:val="24"/>
        </w:rPr>
        <w:t>、评标方式、标准及方法</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本次招标评标标准：在同等条件下（包括但不限于样品质量）以不含增值税的总价格低者优先。</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textAlignment w:val="auto"/>
        <w:rPr>
          <w:rFonts w:ascii="Times New Roman" w:hAnsi="Times New Roman"/>
          <w:b/>
          <w:bCs/>
          <w:sz w:val="24"/>
          <w:szCs w:val="24"/>
        </w:rPr>
      </w:pPr>
      <w:r>
        <w:rPr>
          <w:b/>
          <w:sz w:val="24"/>
          <w:szCs w:val="24"/>
        </w:rPr>
        <w:t>十</w:t>
      </w:r>
      <w:r>
        <w:rPr>
          <w:rFonts w:hint="eastAsia"/>
          <w:b/>
          <w:sz w:val="24"/>
          <w:szCs w:val="24"/>
        </w:rPr>
        <w:t>二</w:t>
      </w:r>
      <w:r>
        <w:rPr>
          <w:b/>
          <w:sz w:val="24"/>
          <w:szCs w:val="24"/>
        </w:rPr>
        <w:t>、</w:t>
      </w:r>
      <w:r>
        <w:rPr>
          <w:rFonts w:ascii="Times New Roman" w:hAnsi="Times New Roman"/>
          <w:b/>
          <w:bCs/>
          <w:sz w:val="24"/>
          <w:szCs w:val="24"/>
        </w:rPr>
        <w:t>有下列情况之一，</w:t>
      </w:r>
      <w:r>
        <w:rPr>
          <w:rFonts w:ascii="Times New Roman" w:hAnsi="Times New Roman"/>
          <w:b/>
          <w:bCs/>
          <w:color w:val="FF0000"/>
          <w:sz w:val="24"/>
          <w:szCs w:val="24"/>
        </w:rPr>
        <w:t>视为无效标：</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（3）逾期上传</w:t>
      </w:r>
      <w:r>
        <w:rPr>
          <w:rFonts w:hint="eastAsia" w:ascii="Times New Roman" w:hAnsi="Times New Roman"/>
          <w:sz w:val="24"/>
          <w:szCs w:val="24"/>
        </w:rPr>
        <w:t>投标</w:t>
      </w:r>
      <w:r>
        <w:rPr>
          <w:rFonts w:ascii="Times New Roman" w:hAnsi="Times New Roman"/>
          <w:sz w:val="24"/>
          <w:szCs w:val="24"/>
        </w:rPr>
        <w:t>书的；</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b/>
          <w:bCs/>
          <w:sz w:val="24"/>
          <w:szCs w:val="24"/>
        </w:rPr>
      </w:pPr>
      <w:r>
        <w:rPr>
          <w:rFonts w:ascii="Times New Roman" w:hAnsi="Times New Roman"/>
          <w:sz w:val="24"/>
          <w:szCs w:val="24"/>
        </w:rPr>
        <w:t>（5）</w:t>
      </w:r>
      <w:r>
        <w:rPr>
          <w:rFonts w:ascii="Times New Roman" w:hAnsi="Times New Roman" w:eastAsia="宋体" w:cs="Times New Roman"/>
          <w:b/>
          <w:bCs/>
          <w:color w:val="FF0000"/>
          <w:sz w:val="24"/>
          <w:szCs w:val="24"/>
        </w:rPr>
        <w:t>报价未按要求</w:t>
      </w:r>
      <w:r>
        <w:rPr>
          <w:rFonts w:hint="eastAsia" w:ascii="Times New Roman" w:hAnsi="Times New Roman" w:eastAsia="宋体" w:cs="Times New Roman"/>
          <w:b/>
          <w:bCs/>
          <w:color w:val="FF0000"/>
          <w:sz w:val="24"/>
          <w:szCs w:val="24"/>
        </w:rPr>
        <w:t>填报</w:t>
      </w:r>
      <w:r>
        <w:rPr>
          <w:rFonts w:ascii="Times New Roman" w:hAnsi="Times New Roman" w:eastAsia="宋体" w:cs="Times New Roman"/>
          <w:b/>
          <w:bCs/>
          <w:color w:val="FF0000"/>
          <w:sz w:val="24"/>
          <w:szCs w:val="24"/>
        </w:rPr>
        <w:t>或擅自更改投标文件格式内容的</w:t>
      </w:r>
      <w:r>
        <w:rPr>
          <w:rFonts w:hint="eastAsia" w:ascii="Times New Roman" w:hAnsi="Times New Roman" w:eastAsia="宋体" w:cs="Times New Roman"/>
          <w:b/>
          <w:bCs/>
          <w:color w:val="FF0000"/>
          <w:sz w:val="24"/>
          <w:szCs w:val="24"/>
        </w:rPr>
        <w:t>；</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（6</w:t>
      </w:r>
      <w:r>
        <w:rPr>
          <w:rFonts w:hint="eastAsia" w:ascii="Times New Roman" w:hAnsi="Times New Roman" w:eastAsia="宋体" w:cs="Times New Roman"/>
          <w:sz w:val="24"/>
          <w:szCs w:val="24"/>
        </w:rPr>
        <w:t>）</w:t>
      </w:r>
      <w:r>
        <w:rPr>
          <w:rFonts w:hint="eastAsia" w:ascii="Times New Roman" w:hAnsi="Times New Roman" w:eastAsia="宋体" w:cs="Times New Roman"/>
          <w:b/>
          <w:bCs/>
          <w:color w:val="FF0000"/>
          <w:sz w:val="24"/>
          <w:szCs w:val="24"/>
        </w:rPr>
        <w:t>投标总价超过招标文件总价限价的</w:t>
      </w:r>
      <w:r>
        <w:rPr>
          <w:rFonts w:ascii="Times New Roman" w:hAnsi="Times New Roman" w:eastAsia="宋体" w:cs="Times New Roman"/>
          <w:b/>
          <w:bCs/>
          <w:color w:val="FF0000"/>
          <w:sz w:val="24"/>
          <w:szCs w:val="24"/>
        </w:rPr>
        <w:t>。</w:t>
      </w:r>
    </w:p>
    <w:p>
      <w:pPr>
        <w:keepNext w:val="0"/>
        <w:keepLines w:val="0"/>
        <w:pageBreakBefore w:val="0"/>
        <w:widowControl w:val="0"/>
        <w:kinsoku/>
        <w:wordWrap/>
        <w:overflowPunct/>
        <w:topLinePunct w:val="0"/>
        <w:autoSpaceDE/>
        <w:autoSpaceDN/>
        <w:bidi w:val="0"/>
        <w:adjustRightInd w:val="0"/>
        <w:snapToGrid w:val="0"/>
        <w:spacing w:line="312" w:lineRule="auto"/>
        <w:ind w:firstLine="482" w:firstLineChars="200"/>
        <w:textAlignment w:val="auto"/>
        <w:rPr>
          <w:rFonts w:ascii="Times New Roman" w:hAnsi="Times New Roman"/>
          <w:b/>
          <w:bCs/>
          <w:sz w:val="24"/>
          <w:szCs w:val="24"/>
        </w:rPr>
      </w:pPr>
      <w:r>
        <w:rPr>
          <w:rFonts w:ascii="Times New Roman" w:hAnsi="Times New Roman"/>
          <w:b/>
          <w:bCs/>
          <w:sz w:val="24"/>
          <w:szCs w:val="24"/>
        </w:rPr>
        <w:t>十</w:t>
      </w:r>
      <w:r>
        <w:rPr>
          <w:rFonts w:hint="eastAsia" w:ascii="Times New Roman" w:hAnsi="Times New Roman"/>
          <w:b/>
          <w:bCs/>
          <w:sz w:val="24"/>
          <w:szCs w:val="24"/>
        </w:rPr>
        <w:t>三</w:t>
      </w:r>
      <w:r>
        <w:rPr>
          <w:rFonts w:ascii="Times New Roman" w:hAnsi="Times New Roman"/>
          <w:b/>
          <w:bCs/>
          <w:sz w:val="24"/>
          <w:szCs w:val="24"/>
        </w:rPr>
        <w:t>、特别提示</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b/>
          <w:sz w:val="24"/>
          <w:szCs w:val="24"/>
        </w:rPr>
        <w:t>电缆</w:t>
      </w:r>
      <w:r>
        <w:rPr>
          <w:rFonts w:ascii="Times New Roman" w:hAnsi="Times New Roman"/>
          <w:b/>
          <w:bCs/>
          <w:sz w:val="24"/>
          <w:szCs w:val="24"/>
        </w:rPr>
        <w:t>采购拟选择</w:t>
      </w:r>
      <w:r>
        <w:rPr>
          <w:rFonts w:hint="eastAsia" w:ascii="Times New Roman" w:hAnsi="Times New Roman"/>
          <w:b/>
          <w:bCs/>
          <w:sz w:val="24"/>
          <w:szCs w:val="24"/>
        </w:rPr>
        <w:t>1</w:t>
      </w:r>
      <w:r>
        <w:rPr>
          <w:rFonts w:ascii="Times New Roman" w:hAnsi="Times New Roman"/>
          <w:b/>
          <w:bCs/>
          <w:sz w:val="24"/>
          <w:szCs w:val="24"/>
        </w:rPr>
        <w:t>家供货单位为中标候选人。</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2、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（微信通知或书面通知）</w:t>
      </w:r>
      <w:r>
        <w:rPr>
          <w:rFonts w:ascii="Times New Roman" w:hAnsi="Times New Roman"/>
          <w:sz w:val="24"/>
          <w:szCs w:val="24"/>
        </w:rPr>
        <w:t>后</w:t>
      </w:r>
      <w:r>
        <w:rPr>
          <w:rFonts w:hint="eastAsia" w:ascii="Times New Roman" w:hAnsi="Times New Roman"/>
          <w:sz w:val="24"/>
          <w:szCs w:val="24"/>
        </w:rPr>
        <w:t>3</w:t>
      </w:r>
      <w:r>
        <w:rPr>
          <w:rFonts w:ascii="Times New Roman" w:hAnsi="Times New Roman"/>
          <w:sz w:val="24"/>
          <w:szCs w:val="24"/>
        </w:rPr>
        <w:t>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textAlignment w:val="auto"/>
        <w:rPr>
          <w:rFonts w:ascii="Times New Roman" w:hAnsi="Times New Roman"/>
          <w:b/>
          <w:bCs/>
          <w:sz w:val="24"/>
          <w:szCs w:val="24"/>
        </w:rPr>
      </w:pPr>
      <w:r>
        <w:rPr>
          <w:rFonts w:ascii="Times New Roman" w:hAnsi="Times New Roman"/>
          <w:b/>
          <w:bCs/>
          <w:sz w:val="24"/>
          <w:szCs w:val="24"/>
        </w:rPr>
        <w:t>十</w:t>
      </w:r>
      <w:r>
        <w:rPr>
          <w:rFonts w:hint="eastAsia" w:ascii="Times New Roman" w:hAnsi="Times New Roman"/>
          <w:b/>
          <w:bCs/>
          <w:sz w:val="24"/>
          <w:szCs w:val="24"/>
        </w:rPr>
        <w:t>四</w:t>
      </w:r>
      <w:r>
        <w:rPr>
          <w:rFonts w:ascii="Times New Roman" w:hAnsi="Times New Roman"/>
          <w:b/>
          <w:bCs/>
          <w:sz w:val="24"/>
          <w:szCs w:val="24"/>
        </w:rPr>
        <w:t xml:space="preserve">、其他 </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textAlignment w:val="auto"/>
        <w:rPr>
          <w:rFonts w:ascii="Times New Roman" w:hAnsi="Times New Roman"/>
          <w:sz w:val="24"/>
        </w:rPr>
        <w:sectPr>
          <w:headerReference r:id="rId3" w:type="default"/>
          <w:footerReference r:id="rId4" w:type="default"/>
          <w:pgSz w:w="11906" w:h="16838"/>
          <w:pgMar w:top="1531" w:right="1134" w:bottom="1474" w:left="1134" w:header="1020" w:footer="907" w:gutter="0"/>
          <w:cols w:space="720" w:num="1"/>
          <w:docGrid w:type="lines" w:linePitch="312" w:charSpace="0"/>
        </w:sect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电缆</w:t>
      </w:r>
      <w:r>
        <w:rPr>
          <w:rFonts w:ascii="Times New Roman" w:hAnsi="Times New Roman"/>
          <w:sz w:val="24"/>
        </w:rPr>
        <w:t>采购合同的组成部分。</w:t>
      </w: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lang w:val="en-US" w:eastAsia="zh-CN"/>
        </w:rPr>
        <w:t xml:space="preserve">   </w:t>
      </w:r>
      <w:r>
        <w:rPr>
          <w:rFonts w:ascii="Times New Roman" w:hAnsi="Times New Roman"/>
          <w:b/>
          <w:sz w:val="32"/>
          <w:szCs w:val="32"/>
        </w:rPr>
        <w:t>投标文件附件格式（附件1-</w:t>
      </w:r>
      <w:r>
        <w:rPr>
          <w:rFonts w:hint="eastAsia" w:ascii="Times New Roman" w:hAnsi="Times New Roman"/>
          <w:b/>
          <w:sz w:val="32"/>
          <w:szCs w:val="32"/>
        </w:rPr>
        <w:t>7</w:t>
      </w:r>
      <w:r>
        <w:rPr>
          <w:rFonts w:ascii="Times New Roman" w:hAnsi="Times New Roman"/>
          <w:b/>
          <w:sz w:val="32"/>
          <w:szCs w:val="32"/>
        </w:rPr>
        <w:t>）</w:t>
      </w:r>
    </w:p>
    <w:p>
      <w:pPr>
        <w:pStyle w:val="8"/>
        <w:rPr>
          <w:rFonts w:ascii="Times New Roman" w:hAnsi="Times New Roman" w:cs="Times New Roman"/>
          <w:b/>
          <w:sz w:val="21"/>
          <w:szCs w:val="21"/>
        </w:rPr>
      </w:pPr>
      <w:r>
        <w:rPr>
          <w:rFonts w:ascii="Times New Roman" w:hAnsi="Times New Roman" w:cs="Times New Roman"/>
          <w:b/>
          <w:sz w:val="21"/>
          <w:szCs w:val="21"/>
        </w:rPr>
        <w:t>附件1（封面格式）</w:t>
      </w:r>
    </w:p>
    <w:p>
      <w:pPr>
        <w:spacing w:line="360" w:lineRule="exact"/>
        <w:ind w:left="40" w:firstLine="361"/>
        <w:jc w:val="center"/>
        <w:rPr>
          <w:rFonts w:ascii="Times New Roman" w:hAnsi="Times New Roman"/>
          <w:b/>
          <w:sz w:val="18"/>
          <w:szCs w:val="18"/>
        </w:rPr>
      </w:pPr>
    </w:p>
    <w:p>
      <w:pPr>
        <w:spacing w:line="360" w:lineRule="exact"/>
        <w:ind w:left="40" w:firstLine="643"/>
        <w:jc w:val="center"/>
        <w:rPr>
          <w:rFonts w:ascii="Times New Roman" w:hAnsi="Times New Roman"/>
          <w:b/>
          <w:sz w:val="32"/>
          <w:szCs w:val="32"/>
        </w:rPr>
      </w:pPr>
    </w:p>
    <w:p>
      <w:pPr>
        <w:spacing w:line="360" w:lineRule="exact"/>
        <w:ind w:left="40" w:hanging="40"/>
        <w:jc w:val="center"/>
        <w:rPr>
          <w:rFonts w:ascii="Times New Roman" w:hAnsi="Times New Roman" w:eastAsia="黑体"/>
          <w:b/>
          <w:sz w:val="18"/>
          <w:szCs w:val="18"/>
        </w:rPr>
      </w:pPr>
      <w:r>
        <w:rPr>
          <w:rFonts w:hint="eastAsia" w:ascii="Times New Roman" w:hAnsi="Times New Roman" w:eastAsia="黑体"/>
          <w:b/>
          <w:sz w:val="32"/>
          <w:szCs w:val="32"/>
        </w:rPr>
        <w:t>秦淮新河水利枢纽改扩建工程土建施工及设备安装</w:t>
      </w:r>
    </w:p>
    <w:p>
      <w:pPr>
        <w:spacing w:line="360" w:lineRule="exact"/>
        <w:ind w:left="40" w:firstLine="361"/>
        <w:jc w:val="center"/>
        <w:rPr>
          <w:rFonts w:ascii="Times New Roman" w:hAnsi="Times New Roman" w:eastAsia="黑体"/>
          <w:b/>
          <w:sz w:val="18"/>
          <w:szCs w:val="18"/>
        </w:rPr>
      </w:pPr>
    </w:p>
    <w:p>
      <w:pPr>
        <w:spacing w:line="360" w:lineRule="exact"/>
        <w:ind w:left="40" w:firstLine="562"/>
        <w:jc w:val="center"/>
        <w:rPr>
          <w:rFonts w:ascii="Times New Roman" w:hAnsi="Times New Roman" w:eastAsia="黑体"/>
          <w:b/>
          <w:sz w:val="28"/>
          <w:szCs w:val="28"/>
        </w:rPr>
      </w:pPr>
    </w:p>
    <w:p>
      <w:pPr>
        <w:jc w:val="center"/>
        <w:rPr>
          <w:b/>
          <w:bCs/>
          <w:sz w:val="44"/>
          <w:szCs w:val="44"/>
        </w:rPr>
      </w:pPr>
      <w:r>
        <w:rPr>
          <w:rFonts w:hint="eastAsia" w:ascii="Times New Roman" w:hAnsi="Times New Roman"/>
          <w:b/>
          <w:sz w:val="44"/>
          <w:szCs w:val="44"/>
        </w:rPr>
        <w:t>电缆</w:t>
      </w:r>
      <w:r>
        <w:rPr>
          <w:b/>
          <w:bCs/>
          <w:sz w:val="44"/>
          <w:szCs w:val="44"/>
        </w:rPr>
        <w:t>采购</w:t>
      </w:r>
    </w:p>
    <w:p>
      <w:pPr>
        <w:jc w:val="center"/>
        <w:rPr>
          <w:b/>
          <w:bCs/>
          <w:sz w:val="44"/>
          <w:szCs w:val="44"/>
        </w:rPr>
      </w:pPr>
    </w:p>
    <w:p>
      <w:pPr>
        <w:jc w:val="center"/>
        <w:rPr>
          <w:b/>
          <w:bCs/>
          <w:sz w:val="44"/>
          <w:szCs w:val="44"/>
        </w:rPr>
      </w:pPr>
    </w:p>
    <w:p>
      <w:pPr>
        <w:jc w:val="center"/>
        <w:rPr>
          <w:b/>
          <w:bCs/>
          <w:sz w:val="44"/>
          <w:szCs w:val="44"/>
        </w:rPr>
      </w:pPr>
      <w:r>
        <w:rPr>
          <w:b/>
          <w:bCs/>
          <w:sz w:val="44"/>
          <w:szCs w:val="44"/>
        </w:rPr>
        <w:t>投 标 文 件</w:t>
      </w:r>
    </w:p>
    <w:p>
      <w:pPr>
        <w:jc w:val="center"/>
        <w:rPr>
          <w:b/>
          <w:bCs/>
          <w:sz w:val="44"/>
          <w:szCs w:val="44"/>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600"/>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pPr>
        <w:pStyle w:val="8"/>
        <w:ind w:left="40" w:leftChars="19" w:firstLine="798" w:firstLineChars="266"/>
        <w:rPr>
          <w:rFonts w:ascii="Times New Roman" w:hAnsi="Times New Roman" w:cs="Times New Roman"/>
          <w:sz w:val="30"/>
          <w:szCs w:val="30"/>
        </w:rPr>
      </w:pPr>
    </w:p>
    <w:p>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pPr>
        <w:rPr>
          <w:rFonts w:ascii="Times New Roman" w:hAnsi="Times New Roman"/>
          <w:b/>
          <w:sz w:val="24"/>
          <w:szCs w:val="24"/>
        </w:rPr>
      </w:pPr>
      <w:r>
        <w:rPr>
          <w:rFonts w:ascii="Times New Roman" w:hAnsi="Times New Roman"/>
          <w:b/>
          <w:sz w:val="24"/>
          <w:szCs w:val="24"/>
        </w:rPr>
        <w:br w:type="page"/>
      </w:r>
    </w:p>
    <w:p>
      <w:pPr>
        <w:pStyle w:val="8"/>
        <w:rPr>
          <w:rFonts w:ascii="Times New Roman" w:hAnsi="Times New Roman" w:cs="Times New Roman"/>
          <w:b/>
          <w:sz w:val="21"/>
          <w:szCs w:val="21"/>
        </w:rPr>
      </w:pPr>
      <w:r>
        <w:rPr>
          <w:rFonts w:ascii="Times New Roman" w:hAnsi="Times New Roman" w:cs="Times New Roman"/>
          <w:b/>
          <w:sz w:val="21"/>
          <w:szCs w:val="21"/>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pPr>
        <w:pStyle w:val="8"/>
        <w:ind w:firstLine="360"/>
        <w:rPr>
          <w:rFonts w:ascii="Times New Roman" w:hAnsi="Times New Roman" w:cs="Times New Roman"/>
          <w:sz w:val="18"/>
          <w:szCs w:val="18"/>
          <w:highlight w:val="yellow"/>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秦淮新河水利枢纽改扩建工程土建施工及设备安装</w:t>
      </w:r>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电缆</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pPr>
        <w:spacing w:line="360" w:lineRule="auto"/>
        <w:ind w:left="40" w:firstLine="480" w:firstLineChars="200"/>
        <w:rPr>
          <w:rFonts w:ascii="Times New Roman" w:hAnsi="Times New Roman" w:eastAsiaTheme="minorEastAsia"/>
          <w:sz w:val="24"/>
          <w:szCs w:val="24"/>
        </w:rPr>
      </w:pPr>
    </w:p>
    <w:p>
      <w:pPr>
        <w:pStyle w:val="2"/>
      </w:pP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pPr>
        <w:spacing w:line="360" w:lineRule="auto"/>
        <w:ind w:firstLine="6360" w:firstLineChars="2650"/>
        <w:rPr>
          <w:sz w:val="24"/>
          <w:szCs w:val="24"/>
        </w:rPr>
      </w:pPr>
      <w:r>
        <w:rPr>
          <w:rFonts w:ascii="宋体" w:hAnsi="宋体"/>
          <w:sz w:val="24"/>
          <w:szCs w:val="24"/>
        </w:rPr>
        <w:t xml:space="preserve"> 年   月   日</w:t>
      </w:r>
    </w:p>
    <w:p>
      <w:pPr>
        <w:ind w:firstLine="480"/>
        <w:rPr>
          <w:rFonts w:ascii="宋体" w:hAnsi="宋体"/>
          <w:szCs w:val="24"/>
        </w:rPr>
      </w:pPr>
      <w:r>
        <w:rPr>
          <w:rFonts w:hint="eastAsia" w:ascii="宋体" w:hAnsi="宋体"/>
          <w:szCs w:val="24"/>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附件3：</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pPr>
        <w:adjustRightInd w:val="0"/>
        <w:snapToGrid w:val="0"/>
        <w:spacing w:line="312" w:lineRule="auto"/>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sz w:val="24"/>
          <w:szCs w:val="24"/>
          <w:u w:val="single"/>
        </w:rPr>
        <w:t>秦淮新河水利枢纽改扩建工程土建施工及设备安装</w:t>
      </w:r>
      <w:r>
        <w:rPr>
          <w:rFonts w:hint="eastAsia" w:ascii="Times New Roman" w:hAnsi="Times New Roman" w:eastAsiaTheme="minorEastAsia"/>
          <w:sz w:val="24"/>
          <w:szCs w:val="24"/>
          <w:u w:val="single"/>
          <w:lang w:val="en-US" w:eastAsia="zh-CN"/>
        </w:rPr>
        <w:t>项目</w:t>
      </w:r>
      <w:r>
        <w:rPr>
          <w:rFonts w:hint="eastAsia"/>
          <w:sz w:val="24"/>
          <w:szCs w:val="24"/>
        </w:rPr>
        <w:t>所用的</w:t>
      </w:r>
      <w:r>
        <w:rPr>
          <w:rFonts w:hint="eastAsia" w:ascii="Times New Roman" w:hAnsi="Times New Roman"/>
          <w:sz w:val="24"/>
          <w:szCs w:val="24"/>
        </w:rPr>
        <w:t>电缆</w:t>
      </w:r>
      <w:r>
        <w:rPr>
          <w:rFonts w:hint="eastAsia"/>
          <w:sz w:val="24"/>
          <w:szCs w:val="24"/>
        </w:rPr>
        <w:t>，具体品牌、规格、数量和价格如下：</w:t>
      </w:r>
    </w:p>
    <w:tbl>
      <w:tblPr>
        <w:tblStyle w:val="12"/>
        <w:tblW w:w="9671" w:type="dxa"/>
        <w:jc w:val="center"/>
        <w:tblLayout w:type="fixed"/>
        <w:tblCellMar>
          <w:top w:w="0" w:type="dxa"/>
          <w:left w:w="23" w:type="dxa"/>
          <w:bottom w:w="0" w:type="dxa"/>
          <w:right w:w="23" w:type="dxa"/>
        </w:tblCellMar>
      </w:tblPr>
      <w:tblGrid>
        <w:gridCol w:w="666"/>
        <w:gridCol w:w="2729"/>
        <w:gridCol w:w="834"/>
        <w:gridCol w:w="600"/>
        <w:gridCol w:w="719"/>
        <w:gridCol w:w="1223"/>
        <w:gridCol w:w="1463"/>
        <w:gridCol w:w="1437"/>
      </w:tblGrid>
      <w:tr>
        <w:tblPrEx>
          <w:tblCellMar>
            <w:top w:w="0" w:type="dxa"/>
            <w:left w:w="23" w:type="dxa"/>
            <w:bottom w:w="0" w:type="dxa"/>
            <w:right w:w="23" w:type="dxa"/>
          </w:tblCellMar>
        </w:tblPrEx>
        <w:trPr>
          <w:trHeight w:val="374" w:hRule="atLeast"/>
          <w:tblHeader/>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序号</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型号</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品牌</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计量单位</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数量</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单价(元/米)</w:t>
            </w: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复价(元)</w:t>
            </w: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备注</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一</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rPr>
            </w:pPr>
            <w:r>
              <w:rPr>
                <w:rFonts w:hint="default" w:ascii="Times New Roman" w:hAnsi="Times New Roman" w:cs="Times New Roman"/>
                <w:b w:val="0"/>
                <w:bCs w:val="0"/>
                <w:color w:val="000000"/>
                <w:kern w:val="0"/>
                <w:sz w:val="22"/>
                <w:szCs w:val="22"/>
              </w:rPr>
              <w:t>高压电缆</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ZA-YJV62-8.7/15-1×400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3360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进线电缆</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ZA-YJV-8.7/15-3×70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变压器电缆</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ZA-YJV-8.7/15-3×95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主机电缆</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4"/>
                <w:szCs w:val="24"/>
              </w:rPr>
            </w:pPr>
            <w:r>
              <w:rPr>
                <w:rFonts w:hint="default" w:ascii="Times New Roman" w:hAnsi="Times New Roman" w:cs="Times New Roman"/>
                <w:b w:val="0"/>
                <w:bCs w:val="0"/>
                <w:color w:val="000000"/>
                <w:kern w:val="0"/>
                <w:sz w:val="24"/>
                <w:szCs w:val="24"/>
              </w:rPr>
              <w:t>ZA-YJV22-8.7/15-3×120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土建返送电缆</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二</w:t>
            </w:r>
          </w:p>
        </w:tc>
        <w:tc>
          <w:tcPr>
            <w:tcW w:w="9005"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000000"/>
                <w:kern w:val="0"/>
                <w:sz w:val="22"/>
                <w:szCs w:val="22"/>
              </w:rPr>
              <w:t>低压电缆</w:t>
            </w:r>
            <w:r>
              <w:rPr>
                <w:rFonts w:hint="default" w:ascii="Times New Roman" w:hAnsi="Times New Roman" w:cs="Times New Roman"/>
                <w:b w:val="0"/>
                <w:bCs w:val="0"/>
                <w:color w:val="000000"/>
                <w:kern w:val="0"/>
                <w:sz w:val="22"/>
                <w:szCs w:val="22"/>
                <w:lang w:eastAsia="zh-CN"/>
              </w:rPr>
              <w:t>（</w:t>
            </w:r>
            <w:r>
              <w:rPr>
                <w:rFonts w:hint="default" w:ascii="Times New Roman" w:hAnsi="Times New Roman" w:cs="Times New Roman"/>
                <w:b/>
                <w:bCs/>
                <w:color w:val="FF0000"/>
                <w:kern w:val="0"/>
                <w:sz w:val="22"/>
                <w:szCs w:val="22"/>
              </w:rPr>
              <w:t>要求：电缆内采用黄、绿、红、蓝、黄绿颜色全包围绝缘层区分</w:t>
            </w:r>
            <w:r>
              <w:rPr>
                <w:rFonts w:hint="default" w:ascii="Times New Roman" w:hAnsi="Times New Roman" w:cs="Times New Roman"/>
                <w:b w:val="0"/>
                <w:bCs w:val="0"/>
                <w:color w:val="000000"/>
                <w:kern w:val="0"/>
                <w:sz w:val="22"/>
                <w:szCs w:val="22"/>
                <w:lang w:eastAsia="zh-CN"/>
              </w:rPr>
              <w:t>）</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ZA-YJV-1×150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ZA-YJV-2×4</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355</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ZA-YJV-2×6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ZA-YJV-3×120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ZA-YJV-3×35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ZA-YJV-4×16+1×10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ZA-YJV-4×25+1×16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12</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ZA-YJV-4×4</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13</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ZA-YJV-4×6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ZA-YJV-4×50+1×25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ZA-YJV-4×95+1×50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三</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000000"/>
                <w:kern w:val="0"/>
                <w:sz w:val="22"/>
                <w:szCs w:val="22"/>
              </w:rPr>
              <w:t>控制电缆</w:t>
            </w:r>
          </w:p>
        </w:tc>
        <w:tc>
          <w:tcPr>
            <w:tcW w:w="627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firstLine="0" w:firstLineChars="0"/>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FF0000"/>
                <w:kern w:val="0"/>
                <w:sz w:val="22"/>
                <w:szCs w:val="22"/>
              </w:rPr>
              <w:t>要求：线芯黑底白字（数字采用阿拉伯数字）</w:t>
            </w: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DJYP2VP2-18×3×0.75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DJYP2VP2-8×3×0.75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340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ZA-KVV-10×2.5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ZA-KVV-4×2.5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ZA-KVV-7×2.5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ZA-KVVP-10×1.5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ZA-KVVP-14×1.5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ZA-KVVP-4×1.5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3700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ZA-KVVP-7×1.5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2700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10</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4"/>
                <w:szCs w:val="24"/>
              </w:rPr>
              <w:t>RVSP-2×2×0.5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422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eastAsia" w:asciiTheme="majorEastAsia" w:hAnsiTheme="majorEastAsia" w:eastAsiaTheme="majorEastAsia" w:cstheme="majorEastAsia"/>
                <w:color w:val="000000"/>
                <w:kern w:val="0"/>
                <w:sz w:val="24"/>
                <w:szCs w:val="24"/>
                <w:lang w:val="en-US" w:eastAsia="zh-CN"/>
              </w:rPr>
              <w:t>一、二、三项合计</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eastAsia" w:asciiTheme="majorEastAsia" w:hAnsiTheme="majorEastAsia" w:eastAsiaTheme="majorEastAsia" w:cstheme="majorEastAsia"/>
                <w:color w:val="000000"/>
                <w:kern w:val="0"/>
                <w:sz w:val="24"/>
                <w:szCs w:val="24"/>
                <w:lang w:val="en-US" w:eastAsia="zh-CN"/>
              </w:rPr>
              <w:t>/</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default" w:asciiTheme="majorEastAsia" w:hAnsiTheme="majorEastAsia" w:eastAsiaTheme="majorEastAsia" w:cstheme="majorEastAsia"/>
                <w:color w:val="000000"/>
                <w:kern w:val="0"/>
                <w:sz w:val="24"/>
                <w:szCs w:val="24"/>
                <w:lang w:val="en-US" w:eastAsia="zh-CN"/>
              </w:rPr>
              <w:t>/</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default" w:asciiTheme="majorEastAsia" w:hAnsiTheme="majorEastAsia" w:eastAsiaTheme="majorEastAsia" w:cstheme="majorEastAsia"/>
                <w:color w:val="000000"/>
                <w:kern w:val="0"/>
                <w:sz w:val="24"/>
                <w:szCs w:val="24"/>
                <w:lang w:val="en-US" w:eastAsia="zh-CN"/>
              </w:rPr>
              <w:t>/</w:t>
            </w: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374" w:hRule="atLeast"/>
          <w:jc w:val="center"/>
        </w:trPr>
        <w:tc>
          <w:tcPr>
            <w:tcW w:w="9671"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default" w:ascii="Times New Roman" w:hAnsi="Times New Roman" w:cs="Times New Roman"/>
                <w:b w:val="0"/>
                <w:bCs w:val="0"/>
                <w:color w:val="000000"/>
                <w:kern w:val="0"/>
                <w:sz w:val="22"/>
                <w:szCs w:val="22"/>
              </w:rPr>
            </w:pPr>
            <w:r>
              <w:rPr>
                <w:rFonts w:hint="eastAsia" w:ascii="Times New Roman" w:hAnsi="Times New Roman" w:cs="Times New Roman"/>
                <w:color w:val="000000"/>
                <w:kern w:val="0"/>
                <w:sz w:val="24"/>
                <w:szCs w:val="24"/>
                <w:lang w:val="en-US" w:eastAsia="zh-CN"/>
              </w:rPr>
              <w:t>报价合计（人民币大写）：</w:t>
            </w:r>
          </w:p>
        </w:tc>
      </w:tr>
    </w:tbl>
    <w:p>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bCs/>
          <w:spacing w:val="-6"/>
          <w:sz w:val="24"/>
          <w:szCs w:val="24"/>
        </w:rPr>
        <w:t>本次电缆采购</w:t>
      </w:r>
      <w:r>
        <w:rPr>
          <w:rFonts w:ascii="Times New Roman" w:hAnsi="Times New Roman"/>
          <w:bCs/>
          <w:spacing w:val="-6"/>
          <w:sz w:val="24"/>
          <w:szCs w:val="24"/>
        </w:rPr>
        <w:t>投标价格为送货到招标人工地指定地点的价格，报价中均包含</w:t>
      </w:r>
      <w:r>
        <w:rPr>
          <w:rFonts w:hint="eastAsia" w:ascii="Times New Roman" w:hAnsi="Times New Roman"/>
          <w:bCs/>
          <w:spacing w:val="-6"/>
          <w:sz w:val="24"/>
          <w:szCs w:val="24"/>
        </w:rPr>
        <w:t>（但不限于）</w:t>
      </w:r>
      <w:r>
        <w:rPr>
          <w:rFonts w:ascii="Times New Roman" w:hAnsi="Times New Roman"/>
          <w:bCs/>
          <w:spacing w:val="-6"/>
          <w:sz w:val="24"/>
          <w:szCs w:val="24"/>
        </w:rPr>
        <w:t>货款、</w:t>
      </w:r>
      <w:r>
        <w:rPr>
          <w:rFonts w:hint="eastAsia" w:ascii="Times New Roman" w:hAnsi="Times New Roman"/>
          <w:bCs/>
          <w:spacing w:val="-6"/>
          <w:sz w:val="24"/>
          <w:szCs w:val="24"/>
        </w:rPr>
        <w:t>验收、检测</w:t>
      </w:r>
      <w:r>
        <w:rPr>
          <w:rFonts w:hint="eastAsia" w:ascii="Times New Roman" w:hAnsi="Times New Roman"/>
          <w:sz w:val="24"/>
          <w:szCs w:val="24"/>
          <w:lang w:val="en-US" w:eastAsia="zh-CN"/>
        </w:rPr>
        <w:t>(含工程相关方委托第三方检测费用)</w:t>
      </w:r>
      <w:r>
        <w:rPr>
          <w:rFonts w:hint="eastAsia" w:ascii="Times New Roman" w:hAnsi="Times New Roman"/>
          <w:bCs/>
          <w:spacing w:val="-6"/>
          <w:sz w:val="24"/>
          <w:szCs w:val="24"/>
        </w:rPr>
        <w:t>、</w:t>
      </w:r>
      <w:r>
        <w:rPr>
          <w:rFonts w:ascii="Times New Roman" w:hAnsi="Times New Roman"/>
          <w:bCs/>
          <w:spacing w:val="-6"/>
          <w:sz w:val="24"/>
          <w:szCs w:val="24"/>
        </w:rPr>
        <w:t>运输、</w:t>
      </w:r>
      <w:r>
        <w:rPr>
          <w:rFonts w:hint="eastAsia" w:ascii="Times New Roman" w:hAnsi="Times New Roman"/>
          <w:bCs/>
          <w:spacing w:val="-6"/>
          <w:sz w:val="24"/>
          <w:szCs w:val="24"/>
        </w:rPr>
        <w:t>卸货、</w:t>
      </w:r>
      <w:r>
        <w:rPr>
          <w:rFonts w:ascii="Times New Roman" w:hAnsi="Times New Roman"/>
          <w:bCs/>
          <w:spacing w:val="-6"/>
          <w:sz w:val="24"/>
          <w:szCs w:val="24"/>
        </w:rPr>
        <w:t>利润、税费等一切费用，并包含货物装车</w:t>
      </w:r>
      <w:r>
        <w:rPr>
          <w:rFonts w:hint="eastAsia" w:ascii="Times New Roman" w:hAnsi="Times New Roman"/>
          <w:bCs/>
          <w:spacing w:val="-6"/>
          <w:sz w:val="24"/>
          <w:szCs w:val="24"/>
        </w:rPr>
        <w:t>、</w:t>
      </w:r>
      <w:r>
        <w:rPr>
          <w:rFonts w:ascii="Times New Roman" w:hAnsi="Times New Roman"/>
          <w:bCs/>
          <w:spacing w:val="-6"/>
          <w:sz w:val="24"/>
          <w:szCs w:val="24"/>
        </w:rPr>
        <w:t>运输及全过程中的安全、保险、措施等费用以及如发生安全事故导致的损失和赔偿费用，提供</w:t>
      </w:r>
      <w:r>
        <w:rPr>
          <w:rFonts w:hint="eastAsia" w:ascii="Times New Roman" w:hAnsi="Times New Roman"/>
          <w:bCs/>
          <w:spacing w:val="-6"/>
          <w:sz w:val="24"/>
          <w:szCs w:val="24"/>
        </w:rPr>
        <w:t>13%的</w:t>
      </w:r>
      <w:r>
        <w:rPr>
          <w:rFonts w:ascii="Times New Roman" w:hAnsi="Times New Roman"/>
          <w:bCs/>
          <w:spacing w:val="-6"/>
          <w:sz w:val="24"/>
          <w:szCs w:val="24"/>
        </w:rPr>
        <w:t>增值税专用发票（税金由中标人承担，包含在</w:t>
      </w:r>
      <w:r>
        <w:rPr>
          <w:rFonts w:hint="eastAsia" w:ascii="Times New Roman" w:hAnsi="Times New Roman"/>
          <w:bCs/>
          <w:spacing w:val="-6"/>
          <w:sz w:val="24"/>
          <w:szCs w:val="24"/>
        </w:rPr>
        <w:t>投标</w:t>
      </w:r>
      <w:r>
        <w:rPr>
          <w:rFonts w:ascii="Times New Roman" w:hAnsi="Times New Roman"/>
          <w:bCs/>
          <w:spacing w:val="-6"/>
          <w:sz w:val="24"/>
          <w:szCs w:val="24"/>
        </w:rPr>
        <w:t>价格中），中标人不得以任何理由额外索取</w:t>
      </w:r>
      <w:r>
        <w:rPr>
          <w:rFonts w:hint="eastAsia" w:ascii="Times New Roman" w:hAnsi="Times New Roman"/>
          <w:bCs/>
          <w:spacing w:val="-6"/>
          <w:sz w:val="24"/>
          <w:szCs w:val="24"/>
        </w:rPr>
        <w:t>任何</w:t>
      </w:r>
      <w:r>
        <w:rPr>
          <w:rFonts w:ascii="Times New Roman" w:hAnsi="Times New Roman"/>
          <w:bCs/>
          <w:spacing w:val="-6"/>
          <w:sz w:val="24"/>
          <w:szCs w:val="24"/>
        </w:rPr>
        <w:t>费用。投标单价为固定</w:t>
      </w:r>
      <w:r>
        <w:rPr>
          <w:rFonts w:hint="eastAsia" w:ascii="Times New Roman" w:hAnsi="Times New Roman"/>
          <w:bCs/>
          <w:spacing w:val="-6"/>
          <w:sz w:val="24"/>
          <w:szCs w:val="24"/>
        </w:rPr>
        <w:t>综合</w:t>
      </w:r>
      <w:r>
        <w:rPr>
          <w:rFonts w:ascii="Times New Roman" w:hAnsi="Times New Roman"/>
          <w:bCs/>
          <w:spacing w:val="-6"/>
          <w:sz w:val="24"/>
          <w:szCs w:val="24"/>
        </w:rPr>
        <w:t>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2、我方接受贵公司招标文件的中确定的计量方式。</w:t>
      </w:r>
    </w:p>
    <w:p>
      <w:pPr>
        <w:keepNext w:val="0"/>
        <w:keepLines w:val="0"/>
        <w:pageBreakBefore w:val="0"/>
        <w:widowControl w:val="0"/>
        <w:shd w:val="clear" w:color="auto"/>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3、我方承诺：1）我方提供的</w:t>
      </w:r>
      <w:r>
        <w:rPr>
          <w:rFonts w:hint="eastAsia" w:ascii="Times New Roman" w:hAnsi="Times New Roman"/>
          <w:sz w:val="24"/>
          <w:szCs w:val="24"/>
        </w:rPr>
        <w:t>电缆</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5</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电缆</w:t>
      </w:r>
      <w:r>
        <w:rPr>
          <w:rFonts w:ascii="Times New Roman" w:hAnsi="Times New Roman"/>
          <w:bCs/>
          <w:sz w:val="24"/>
          <w:szCs w:val="24"/>
        </w:rPr>
        <w:t>供货计划的接收、供货的协调、收货签单的核对、办理结算等。人员费用已考虑在投标报价中。</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pPr>
      <w:r>
        <w:rPr>
          <w:rFonts w:hint="eastAsia" w:ascii="Times New Roman" w:hAnsi="Times New Roman"/>
          <w:color w:val="000000"/>
          <w:sz w:val="24"/>
          <w:szCs w:val="21"/>
        </w:rPr>
        <w:t>6、（一）、（二）</w:t>
      </w:r>
      <w:r>
        <w:rPr>
          <w:rFonts w:hint="eastAsia" w:ascii="Times New Roman" w:hAnsi="Times New Roman"/>
          <w:color w:val="0000FF"/>
          <w:sz w:val="24"/>
          <w:szCs w:val="21"/>
          <w:lang w:eastAsia="zh-CN"/>
        </w:rPr>
        <w:t>、（</w:t>
      </w:r>
      <w:r>
        <w:rPr>
          <w:rFonts w:hint="eastAsia" w:ascii="Times New Roman" w:hAnsi="Times New Roman"/>
          <w:color w:val="0000FF"/>
          <w:sz w:val="24"/>
          <w:szCs w:val="21"/>
          <w:lang w:val="en-US" w:eastAsia="zh-CN"/>
        </w:rPr>
        <w:t>三</w:t>
      </w:r>
      <w:r>
        <w:rPr>
          <w:rFonts w:hint="eastAsia" w:ascii="Times New Roman" w:hAnsi="Times New Roman"/>
          <w:color w:val="0000FF"/>
          <w:sz w:val="24"/>
          <w:szCs w:val="21"/>
          <w:lang w:eastAsia="zh-CN"/>
        </w:rPr>
        <w:t>）</w:t>
      </w:r>
      <w:r>
        <w:rPr>
          <w:rFonts w:hint="eastAsia" w:ascii="Times New Roman" w:hAnsi="Times New Roman"/>
          <w:color w:val="000000"/>
          <w:sz w:val="24"/>
          <w:szCs w:val="21"/>
        </w:rPr>
        <w:t>项</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pPr>
        <w:adjustRightInd w:val="0"/>
        <w:snapToGrid w:val="0"/>
        <w:spacing w:line="312" w:lineRule="auto"/>
        <w:ind w:left="40" w:firstLine="480"/>
        <w:rPr>
          <w:rFonts w:ascii="Times New Roman" w:hAnsi="Times New Roman"/>
          <w:bCs/>
          <w:sz w:val="24"/>
          <w:szCs w:val="24"/>
        </w:rPr>
      </w:pPr>
    </w:p>
    <w:p>
      <w:pPr>
        <w:keepNext w:val="0"/>
        <w:keepLines w:val="0"/>
        <w:pageBreakBefore w:val="0"/>
        <w:widowControl w:val="0"/>
        <w:kinsoku/>
        <w:wordWrap/>
        <w:overflowPunct/>
        <w:topLinePunct w:val="0"/>
        <w:autoSpaceDE/>
        <w:autoSpaceDN/>
        <w:bidi w:val="0"/>
        <w:spacing w:line="276" w:lineRule="auto"/>
        <w:textAlignment w:val="auto"/>
      </w:pP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pPr>
        <w:adjustRightInd w:val="0"/>
        <w:snapToGrid w:val="0"/>
        <w:ind w:firstLine="360"/>
        <w:rPr>
          <w:sz w:val="18"/>
          <w:szCs w:val="18"/>
        </w:rPr>
      </w:pPr>
    </w:p>
    <w:p>
      <w:pPr>
        <w:adjustRightInd w:val="0"/>
        <w:snapToGrid w:val="0"/>
        <w:jc w:val="center"/>
        <w:rPr>
          <w:b/>
          <w:bCs/>
          <w:sz w:val="32"/>
          <w:szCs w:val="32"/>
        </w:rPr>
      </w:pPr>
    </w:p>
    <w:p>
      <w:pPr>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pPr>
        <w:adjustRightInd w:val="0"/>
        <w:snapToGrid w:val="0"/>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jc w:val="center"/>
        <w:rPr>
          <w:b/>
          <w:bCs/>
          <w:sz w:val="32"/>
          <w:szCs w:val="32"/>
        </w:rPr>
      </w:pPr>
      <w:r>
        <w:rPr>
          <w:b/>
          <w:bCs/>
          <w:sz w:val="32"/>
          <w:szCs w:val="32"/>
        </w:rPr>
        <w:t>授权委托书</w:t>
      </w:r>
    </w:p>
    <w:p>
      <w:pPr>
        <w:adjustRightInd w:val="0"/>
        <w:snapToGrid w:val="0"/>
        <w:spacing w:line="360" w:lineRule="auto"/>
        <w:ind w:firstLine="103" w:firstLineChars="49"/>
        <w:rPr>
          <w:b/>
          <w:bCs/>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秦淮新河水利枢纽改扩建工程土建施工及设备安装</w:t>
      </w:r>
      <w:r>
        <w:rPr>
          <w:rFonts w:hint="eastAsia" w:ascii="Times New Roman" w:hAnsi="Times New Roman"/>
          <w:b/>
          <w:sz w:val="24"/>
          <w:szCs w:val="24"/>
          <w:u w:val="single"/>
        </w:rPr>
        <w:t>电缆</w:t>
      </w:r>
      <w:r>
        <w:rPr>
          <w:rFonts w:ascii="Times New Roman" w:hAnsi="Times New Roman"/>
          <w:sz w:val="24"/>
          <w:szCs w:val="24"/>
        </w:rPr>
        <w:t>投标文件</w:t>
      </w:r>
      <w:r>
        <w:rPr>
          <w:sz w:val="24"/>
          <w:szCs w:val="24"/>
        </w:rPr>
        <w:t>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2"/>
        <w:ind w:firstLine="480"/>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rPr>
          <w:sz w:val="24"/>
          <w:szCs w:val="24"/>
        </w:rPr>
      </w:pPr>
      <w:r>
        <w:rPr>
          <w:sz w:val="24"/>
          <w:szCs w:val="24"/>
        </w:rPr>
        <w:t>附：委托代理人身份证复印件</w:t>
      </w:r>
    </w:p>
    <w:p>
      <w:pPr>
        <w:adjustRightInd w:val="0"/>
        <w:snapToGrid w:val="0"/>
        <w:ind w:firstLine="360"/>
        <w:rPr>
          <w:sz w:val="24"/>
          <w:szCs w:val="24"/>
        </w:rPr>
      </w:pPr>
    </w:p>
    <w:p>
      <w:pPr>
        <w:pStyle w:val="2"/>
        <w:ind w:firstLine="360"/>
        <w:rPr>
          <w:rFonts w:ascii="Times New Roman" w:hAnsi="Times New Roman"/>
        </w:rPr>
      </w:pPr>
    </w:p>
    <w:p>
      <w:pPr>
        <w:ind w:firstLine="360"/>
        <w:rPr>
          <w:sz w:val="24"/>
          <w:szCs w:val="24"/>
        </w:rPr>
      </w:pPr>
    </w:p>
    <w:p>
      <w:pPr>
        <w:pStyle w:val="2"/>
        <w:ind w:firstLine="360"/>
        <w:rPr>
          <w:rFonts w:ascii="Times New Roman" w:hAnsi="Times New Roman"/>
        </w:rPr>
      </w:pPr>
    </w:p>
    <w:p>
      <w:pPr>
        <w:ind w:firstLine="360"/>
        <w:rPr>
          <w:sz w:val="24"/>
          <w:szCs w:val="24"/>
        </w:rPr>
      </w:pPr>
    </w:p>
    <w:p>
      <w:pPr>
        <w:pStyle w:val="2"/>
        <w:ind w:firstLine="480"/>
      </w:pPr>
    </w:p>
    <w:p>
      <w:pPr>
        <w:ind w:firstLine="361"/>
        <w:rPr>
          <w:b/>
          <w:sz w:val="24"/>
          <w:szCs w:val="24"/>
        </w:rPr>
      </w:pPr>
      <w:r>
        <w:rPr>
          <w:b/>
          <w:sz w:val="24"/>
          <w:szCs w:val="24"/>
        </w:rPr>
        <w:br w:type="page"/>
      </w:r>
    </w:p>
    <w:p>
      <w:pPr>
        <w:pStyle w:val="8"/>
        <w:spacing w:line="360" w:lineRule="auto"/>
        <w:ind w:left="40" w:firstLine="482"/>
        <w:rPr>
          <w:rFonts w:ascii="Times New Roman" w:hAnsi="Times New Roman" w:cs="Times New Roman"/>
          <w:b/>
          <w:color w:val="FF0000"/>
          <w:sz w:val="24"/>
          <w:szCs w:val="24"/>
        </w:rPr>
      </w:pPr>
      <w:r>
        <w:rPr>
          <w:rFonts w:ascii="Times New Roman" w:hAnsi="Times New Roman" w:cs="Times New Roman"/>
          <w:b/>
          <w:sz w:val="24"/>
          <w:szCs w:val="24"/>
        </w:rPr>
        <w:t>附件6、</w:t>
      </w:r>
      <w:r>
        <w:rPr>
          <w:rFonts w:hint="eastAsia" w:ascii="Times New Roman" w:hAnsi="Times New Roman" w:cs="Times New Roman"/>
          <w:b/>
          <w:sz w:val="24"/>
          <w:szCs w:val="24"/>
        </w:rPr>
        <w:t>投标人营业执照</w:t>
      </w:r>
      <w:r>
        <w:rPr>
          <w:rFonts w:hint="eastAsia" w:ascii="Times New Roman" w:hAnsi="Times New Roman" w:cs="Times New Roman"/>
          <w:b/>
          <w:color w:val="FF0000"/>
          <w:sz w:val="24"/>
          <w:szCs w:val="24"/>
        </w:rPr>
        <w:t>（保证扫描的资料清楚）</w:t>
      </w:r>
    </w:p>
    <w:p>
      <w:pPr>
        <w:pStyle w:val="8"/>
        <w:spacing w:line="360" w:lineRule="auto"/>
        <w:ind w:left="40" w:firstLine="482"/>
        <w:rPr>
          <w:rFonts w:ascii="Times New Roman" w:hAnsi="Times New Roman" w:cs="Times New Roman"/>
          <w:b/>
          <w:color w:val="FF0000"/>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w:t>
      </w:r>
      <w:r>
        <w:rPr>
          <w:rFonts w:hint="eastAsia" w:ascii="Times New Roman" w:hAnsi="Times New Roman" w:cs="Times New Roman"/>
          <w:b/>
          <w:color w:val="FF0000"/>
          <w:sz w:val="24"/>
          <w:szCs w:val="24"/>
        </w:rPr>
        <w:t>电缆厂家营业执照、资质证书、电缆厂盖章的经销商证明资料、制造厂简介、国家颁发的全国工业产品生产许可证和国家相关部门认可的采购产品的型式试验报告（保证扫描的资料清楚）</w:t>
      </w:r>
    </w:p>
    <w:p>
      <w:pPr>
        <w:pStyle w:val="8"/>
        <w:spacing w:line="360" w:lineRule="auto"/>
        <w:rPr>
          <w:rFonts w:ascii="Times New Roman" w:hAnsi="Times New Roman" w:cs="Times New Roman"/>
          <w:b/>
          <w:color w:val="FF0000"/>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8</w:t>
      </w:r>
      <w:r>
        <w:rPr>
          <w:rFonts w:ascii="Times New Roman" w:hAnsi="Times New Roman" w:cs="Times New Roman"/>
          <w:b/>
          <w:sz w:val="24"/>
          <w:szCs w:val="24"/>
        </w:rPr>
        <w:t>、投标保证金（汇款凭证）</w:t>
      </w:r>
    </w:p>
    <w:p>
      <w:pPr>
        <w:spacing w:line="360" w:lineRule="auto"/>
        <w:rPr>
          <w:rFonts w:ascii="Times New Roman" w:hAnsi="Times New Roman"/>
          <w:b/>
          <w:sz w:val="32"/>
          <w:szCs w:val="32"/>
        </w:rPr>
      </w:pPr>
      <w:r>
        <w:rPr>
          <w:rFonts w:ascii="Times New Roman" w:hAnsi="Times New Roman"/>
          <w:b/>
          <w:sz w:val="32"/>
          <w:szCs w:val="32"/>
        </w:rPr>
        <w:br w:type="page"/>
      </w:r>
    </w:p>
    <w:p>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电缆</w:t>
      </w:r>
      <w:r>
        <w:rPr>
          <w:rFonts w:asciiTheme="minorEastAsia" w:hAnsiTheme="minorEastAsia" w:eastAsiaTheme="minorEastAsia"/>
          <w:b/>
          <w:szCs w:val="21"/>
        </w:rPr>
        <w:t>采购合同</w:t>
      </w:r>
    </w:p>
    <w:p>
      <w:pPr>
        <w:shd w:val="clear"/>
        <w:ind w:left="40" w:hanging="4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采购合同</w:t>
      </w:r>
    </w:p>
    <w:p>
      <w:pPr>
        <w:shd w:val="clear"/>
        <w:ind w:firstLine="420"/>
        <w:jc w:val="center"/>
        <w:rPr>
          <w:rFonts w:asciiTheme="minorEastAsia" w:hAnsiTheme="minorEastAsia" w:eastAsiaTheme="minorEastAsia"/>
          <w:b/>
          <w:sz w:val="24"/>
          <w:szCs w:val="24"/>
        </w:rPr>
      </w:pPr>
      <w:r>
        <w:rPr>
          <w:rFonts w:asciiTheme="minorEastAsia" w:hAnsiTheme="minorEastAsia" w:eastAsiaTheme="minorEastAsia"/>
          <w:bCs/>
          <w:sz w:val="24"/>
          <w:szCs w:val="24"/>
        </w:rPr>
        <w:t>合同编号</w:t>
      </w:r>
      <w:r>
        <w:rPr>
          <w:rFonts w:asciiTheme="minorEastAsia" w:hAnsiTheme="minorEastAsia" w:eastAsiaTheme="minorEastAsia"/>
          <w:b/>
          <w:bCs/>
          <w:sz w:val="24"/>
          <w:szCs w:val="24"/>
        </w:rPr>
        <w:t>：</w:t>
      </w:r>
    </w:p>
    <w:p>
      <w:pPr>
        <w:shd w:val="clea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pPr>
        <w:shd w:val="clea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6" w:name="_Hlk148377911"/>
      <w:r>
        <w:rPr>
          <w:rFonts w:asciiTheme="minorEastAsia" w:hAnsiTheme="minorEastAsia" w:eastAsiaTheme="minorEastAsia"/>
          <w:b/>
          <w:sz w:val="24"/>
          <w:szCs w:val="24"/>
        </w:rPr>
        <w:t>（注意：应填写对方营业执照上注册的全称）</w:t>
      </w:r>
      <w:bookmarkEnd w:id="6"/>
      <w:r>
        <w:rPr>
          <w:rFonts w:asciiTheme="minorEastAsia" w:hAnsiTheme="minorEastAsia" w:eastAsiaTheme="minorEastAsia"/>
          <w:sz w:val="24"/>
          <w:szCs w:val="24"/>
        </w:rPr>
        <w:t>（以下简称乙方）</w:t>
      </w:r>
    </w:p>
    <w:p>
      <w:pPr>
        <w:shd w:val="clea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一事，达成本协议，供双方共同遵守。</w:t>
      </w:r>
    </w:p>
    <w:p>
      <w:pPr>
        <w:pStyle w:val="22"/>
        <w:shd w:val="clear"/>
        <w:spacing w:line="360" w:lineRule="auto"/>
        <w:ind w:left="472" w:hanging="432" w:firstLineChars="0"/>
        <w:rPr>
          <w:rFonts w:asciiTheme="minorEastAsia" w:hAnsiTheme="minorEastAsia" w:eastAsiaTheme="minorEastAsia"/>
          <w:b/>
          <w:sz w:val="24"/>
          <w:szCs w:val="24"/>
        </w:rPr>
      </w:pPr>
      <w:r>
        <w:rPr>
          <w:rFonts w:asciiTheme="minorEastAsia" w:hAnsiTheme="minorEastAsia" w:eastAsiaTheme="minorEastAsia"/>
          <w:b/>
          <w:sz w:val="24"/>
          <w:szCs w:val="24"/>
        </w:rPr>
        <w:t>一、</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供应工程概况：</w:t>
      </w:r>
    </w:p>
    <w:p>
      <w:pPr>
        <w:pStyle w:val="22"/>
        <w:shd w:val="clear"/>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工程名称：</w:t>
      </w:r>
      <w:r>
        <w:rPr>
          <w:rFonts w:hint="eastAsia" w:asciiTheme="minorEastAsia" w:hAnsiTheme="minorEastAsia" w:eastAsiaTheme="minorEastAsia"/>
          <w:b/>
          <w:bCs/>
          <w:sz w:val="24"/>
          <w:szCs w:val="24"/>
          <w:u w:val="single"/>
        </w:rPr>
        <w:t>秦淮新河水利枢纽改扩建工程土建施工及设备安装</w:t>
      </w:r>
    </w:p>
    <w:p>
      <w:pPr>
        <w:pStyle w:val="22"/>
        <w:shd w:val="clear"/>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供货期限：</w:t>
      </w:r>
      <w:r>
        <w:rPr>
          <w:rFonts w:asciiTheme="minorEastAsia" w:hAnsiTheme="minorEastAsia" w:eastAsiaTheme="minorEastAsia"/>
          <w:sz w:val="24"/>
          <w:szCs w:val="24"/>
          <w:u w:val="single"/>
        </w:rPr>
        <w:t>202</w:t>
      </w:r>
      <w:r>
        <w:rPr>
          <w:rFonts w:hint="eastAsia" w:asciiTheme="minorEastAsia" w:hAnsiTheme="minorEastAsia" w:eastAsiaTheme="minorEastAsia"/>
          <w:sz w:val="24"/>
          <w:szCs w:val="24"/>
          <w:u w:val="single"/>
        </w:rPr>
        <w:t>6</w:t>
      </w:r>
      <w:r>
        <w:rPr>
          <w:rFonts w:asciiTheme="minorEastAsia" w:hAnsiTheme="minorEastAsia" w:eastAsiaTheme="minorEastAsia"/>
          <w:sz w:val="24"/>
          <w:szCs w:val="24"/>
          <w:u w:val="single"/>
        </w:rPr>
        <w:t>年</w:t>
      </w:r>
      <w:r>
        <w:rPr>
          <w:rFonts w:hint="eastAsia" w:asciiTheme="minorEastAsia" w:hAnsiTheme="minorEastAsia" w:eastAsiaTheme="minorEastAsia"/>
          <w:sz w:val="24"/>
          <w:szCs w:val="24"/>
          <w:u w:val="single"/>
        </w:rPr>
        <w:t>3</w:t>
      </w:r>
      <w:r>
        <w:rPr>
          <w:rFonts w:asciiTheme="minorEastAsia" w:hAnsiTheme="minorEastAsia" w:eastAsiaTheme="minorEastAsia"/>
          <w:sz w:val="24"/>
          <w:szCs w:val="24"/>
          <w:u w:val="single"/>
        </w:rPr>
        <w:t>月</w:t>
      </w:r>
      <w:r>
        <w:rPr>
          <w:rFonts w:hint="eastAsia" w:asciiTheme="minorEastAsia" w:hAnsiTheme="minorEastAsia" w:eastAsiaTheme="minorEastAsia"/>
          <w:sz w:val="24"/>
          <w:szCs w:val="24"/>
          <w:u w:val="single"/>
        </w:rPr>
        <w:t>15</w:t>
      </w:r>
      <w:r>
        <w:rPr>
          <w:rFonts w:asciiTheme="minorEastAsia" w:hAnsiTheme="minorEastAsia" w:eastAsiaTheme="minorEastAsia"/>
          <w:sz w:val="24"/>
          <w:szCs w:val="24"/>
          <w:u w:val="single"/>
        </w:rPr>
        <w:t>日至202</w:t>
      </w:r>
      <w:r>
        <w:rPr>
          <w:rFonts w:hint="eastAsia" w:asciiTheme="minorEastAsia" w:hAnsiTheme="minorEastAsia" w:eastAsiaTheme="minorEastAsia"/>
          <w:sz w:val="24"/>
          <w:szCs w:val="24"/>
          <w:u w:val="single"/>
        </w:rPr>
        <w:t>6</w:t>
      </w:r>
      <w:r>
        <w:rPr>
          <w:rFonts w:asciiTheme="minorEastAsia" w:hAnsiTheme="minorEastAsia" w:eastAsiaTheme="minorEastAsia"/>
          <w:sz w:val="24"/>
          <w:szCs w:val="24"/>
          <w:u w:val="single"/>
        </w:rPr>
        <w:t>年</w:t>
      </w:r>
      <w:r>
        <w:rPr>
          <w:rFonts w:hint="eastAsia" w:asciiTheme="minorEastAsia" w:hAnsiTheme="minorEastAsia" w:eastAsiaTheme="minorEastAsia"/>
          <w:sz w:val="24"/>
          <w:szCs w:val="24"/>
          <w:u w:val="single"/>
        </w:rPr>
        <w:t>3</w:t>
      </w:r>
      <w:r>
        <w:rPr>
          <w:rFonts w:asciiTheme="minorEastAsia" w:hAnsiTheme="minorEastAsia" w:eastAsiaTheme="minorEastAsia"/>
          <w:sz w:val="24"/>
          <w:szCs w:val="24"/>
          <w:u w:val="single"/>
        </w:rPr>
        <w:t>月</w:t>
      </w:r>
      <w:r>
        <w:rPr>
          <w:rFonts w:hint="eastAsia" w:asciiTheme="minorEastAsia" w:hAnsiTheme="minorEastAsia" w:eastAsiaTheme="minorEastAsia"/>
          <w:sz w:val="24"/>
          <w:szCs w:val="24"/>
          <w:u w:val="single"/>
        </w:rPr>
        <w:t>22</w:t>
      </w:r>
      <w:r>
        <w:rPr>
          <w:rFonts w:asciiTheme="minorEastAsia" w:hAnsiTheme="minorEastAsia" w:eastAsiaTheme="minorEastAsia"/>
          <w:sz w:val="24"/>
          <w:szCs w:val="24"/>
          <w:u w:val="single"/>
        </w:rPr>
        <w:t>日</w:t>
      </w:r>
      <w:r>
        <w:rPr>
          <w:rFonts w:asciiTheme="minorEastAsia" w:hAnsiTheme="minorEastAsia" w:eastAsiaTheme="minorEastAsia"/>
          <w:sz w:val="24"/>
          <w:szCs w:val="24"/>
        </w:rPr>
        <w:t>供</w:t>
      </w:r>
      <w:r>
        <w:rPr>
          <w:rFonts w:asciiTheme="minorEastAsia" w:hAnsiTheme="minorEastAsia" w:eastAsiaTheme="minorEastAsia"/>
          <w:color w:val="000000" w:themeColor="text1"/>
          <w:sz w:val="24"/>
          <w:szCs w:val="24"/>
        </w:rPr>
        <w:t>应</w:t>
      </w:r>
      <w:r>
        <w:rPr>
          <w:rFonts w:asciiTheme="minorEastAsia" w:hAnsiTheme="minorEastAsia" w:eastAsiaTheme="minorEastAsia"/>
          <w:sz w:val="24"/>
          <w:szCs w:val="24"/>
        </w:rPr>
        <w:t>，</w:t>
      </w:r>
      <w:r>
        <w:rPr>
          <w:rFonts w:hint="eastAsia" w:asciiTheme="minorEastAsia" w:hAnsiTheme="minorEastAsia" w:eastAsiaTheme="minorEastAsia"/>
          <w:sz w:val="24"/>
          <w:szCs w:val="24"/>
        </w:rPr>
        <w:t>具体供货开始和结束期限以项目部根据工期出具的通知为准</w:t>
      </w:r>
      <w:r>
        <w:rPr>
          <w:rFonts w:asciiTheme="minorEastAsia" w:hAnsiTheme="minorEastAsia" w:eastAsiaTheme="minorEastAsia"/>
          <w:sz w:val="24"/>
          <w:szCs w:val="24"/>
        </w:rPr>
        <w:t>。</w:t>
      </w:r>
    </w:p>
    <w:p>
      <w:pPr>
        <w:pStyle w:val="22"/>
        <w:shd w:val="clear"/>
        <w:spacing w:line="360" w:lineRule="auto"/>
        <w:ind w:left="40" w:firstLineChars="0"/>
        <w:rPr>
          <w:rFonts w:asciiTheme="minorEastAsia" w:hAnsiTheme="minorEastAsia" w:eastAsiaTheme="minorEastAsia"/>
          <w:b/>
          <w:bCs/>
          <w:sz w:val="24"/>
          <w:szCs w:val="24"/>
          <w:u w:val="single"/>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供货地点：</w:t>
      </w:r>
      <w:r>
        <w:rPr>
          <w:rFonts w:hint="eastAsia" w:asciiTheme="minorEastAsia" w:hAnsiTheme="minorEastAsia" w:eastAsiaTheme="minorEastAsia"/>
          <w:b/>
          <w:bCs/>
          <w:sz w:val="24"/>
          <w:szCs w:val="24"/>
          <w:u w:val="single"/>
        </w:rPr>
        <w:t>江苏省水利建设工程有限公司秦淮新河水利枢纽改扩建工程土建施工及设备安装施工现场。</w:t>
      </w:r>
    </w:p>
    <w:p>
      <w:pPr>
        <w:pStyle w:val="22"/>
        <w:shd w:val="clear"/>
        <w:spacing w:line="360" w:lineRule="auto"/>
        <w:ind w:left="472" w:hanging="432" w:firstLineChars="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供应要求：</w:t>
      </w:r>
    </w:p>
    <w:p>
      <w:pPr>
        <w:pStyle w:val="18"/>
        <w:shd w:val="clear"/>
        <w:spacing w:line="360" w:lineRule="auto"/>
        <w:ind w:left="468" w:leftChars="223" w:firstLine="69" w:firstLineChars="29"/>
        <w:rPr>
          <w:rFonts w:asciiTheme="minorEastAsia" w:hAnsiTheme="minorEastAsia" w:eastAsiaTheme="minorEastAsia"/>
          <w:sz w:val="24"/>
          <w:szCs w:val="24"/>
        </w:rPr>
      </w:pPr>
      <w:r>
        <w:rPr>
          <w:rFonts w:asciiTheme="minorEastAsia" w:hAnsiTheme="minorEastAsia" w:eastAsiaTheme="minorEastAsia"/>
          <w:sz w:val="24"/>
          <w:szCs w:val="24"/>
        </w:rPr>
        <w:t>1、甲方向乙方采购的</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具体品种、规格、数量及产地如下：</w:t>
      </w:r>
    </w:p>
    <w:tbl>
      <w:tblPr>
        <w:tblStyle w:val="12"/>
        <w:tblW w:w="9671" w:type="dxa"/>
        <w:jc w:val="center"/>
        <w:tblLayout w:type="fixed"/>
        <w:tblCellMar>
          <w:top w:w="0" w:type="dxa"/>
          <w:left w:w="23" w:type="dxa"/>
          <w:bottom w:w="0" w:type="dxa"/>
          <w:right w:w="23" w:type="dxa"/>
        </w:tblCellMar>
      </w:tblPr>
      <w:tblGrid>
        <w:gridCol w:w="666"/>
        <w:gridCol w:w="2729"/>
        <w:gridCol w:w="834"/>
        <w:gridCol w:w="600"/>
        <w:gridCol w:w="719"/>
        <w:gridCol w:w="1223"/>
        <w:gridCol w:w="1463"/>
        <w:gridCol w:w="1437"/>
      </w:tblGrid>
      <w:tr>
        <w:tblPrEx>
          <w:tblCellMar>
            <w:top w:w="0" w:type="dxa"/>
            <w:left w:w="23" w:type="dxa"/>
            <w:bottom w:w="0" w:type="dxa"/>
            <w:right w:w="23" w:type="dxa"/>
          </w:tblCellMar>
        </w:tblPrEx>
        <w:trPr>
          <w:trHeight w:val="374" w:hRule="atLeast"/>
          <w:tblHeader/>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序号</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型号</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品牌</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计量单位</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数量</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单价(元/米)</w:t>
            </w: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cs="Times New Roman"/>
                <w:b w:val="0"/>
                <w:bCs w:val="0"/>
                <w:color w:val="000000"/>
                <w:kern w:val="0"/>
                <w:sz w:val="22"/>
                <w:szCs w:val="22"/>
                <w:lang w:val="en-US" w:eastAsia="zh-CN"/>
              </w:rPr>
              <w:t>复价(元)</w:t>
            </w: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备注</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一</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rPr>
            </w:pPr>
            <w:r>
              <w:rPr>
                <w:rFonts w:hint="default" w:ascii="Times New Roman" w:hAnsi="Times New Roman" w:cs="Times New Roman"/>
                <w:b w:val="0"/>
                <w:bCs w:val="0"/>
                <w:color w:val="000000"/>
                <w:kern w:val="0"/>
                <w:sz w:val="22"/>
                <w:szCs w:val="22"/>
              </w:rPr>
              <w:t>高压电缆</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ZA-YJV62-8.7/15-1×400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3360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进线电缆</w:t>
            </w: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ZA-YJV-8.7/15-3×70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变压器电缆</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ZA-YJV-8.7/15-3×95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主机电缆</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4"/>
                <w:szCs w:val="24"/>
              </w:rPr>
            </w:pPr>
            <w:r>
              <w:rPr>
                <w:rFonts w:hint="default" w:ascii="Times New Roman" w:hAnsi="Times New Roman" w:cs="Times New Roman"/>
                <w:b w:val="0"/>
                <w:bCs w:val="0"/>
                <w:color w:val="000000"/>
                <w:kern w:val="0"/>
                <w:sz w:val="24"/>
                <w:szCs w:val="24"/>
              </w:rPr>
              <w:t>ZA-YJV22-8.7/15-3×120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土建返送电缆</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二</w:t>
            </w:r>
          </w:p>
        </w:tc>
        <w:tc>
          <w:tcPr>
            <w:tcW w:w="9005"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000000"/>
                <w:kern w:val="0"/>
                <w:sz w:val="22"/>
                <w:szCs w:val="22"/>
              </w:rPr>
              <w:t>低压电缆</w:t>
            </w:r>
            <w:r>
              <w:rPr>
                <w:rFonts w:hint="default" w:ascii="Times New Roman" w:hAnsi="Times New Roman" w:cs="Times New Roman"/>
                <w:b w:val="0"/>
                <w:bCs w:val="0"/>
                <w:color w:val="000000"/>
                <w:kern w:val="0"/>
                <w:sz w:val="22"/>
                <w:szCs w:val="22"/>
                <w:lang w:eastAsia="zh-CN"/>
              </w:rPr>
              <w:t>（</w:t>
            </w:r>
            <w:r>
              <w:rPr>
                <w:rFonts w:hint="default" w:ascii="Times New Roman" w:hAnsi="Times New Roman" w:cs="Times New Roman"/>
                <w:b/>
                <w:bCs/>
                <w:color w:val="FF0000"/>
                <w:kern w:val="0"/>
                <w:sz w:val="22"/>
                <w:szCs w:val="22"/>
              </w:rPr>
              <w:t>要求：电缆内采用黄、绿、红、蓝、黄绿颜色全包围绝缘层区分</w:t>
            </w:r>
            <w:r>
              <w:rPr>
                <w:rFonts w:hint="default" w:ascii="Times New Roman" w:hAnsi="Times New Roman" w:cs="Times New Roman"/>
                <w:b w:val="0"/>
                <w:bCs w:val="0"/>
                <w:color w:val="000000"/>
                <w:kern w:val="0"/>
                <w:sz w:val="22"/>
                <w:szCs w:val="22"/>
                <w:lang w:eastAsia="zh-CN"/>
              </w:rPr>
              <w:t>）</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ZA-YJV-1×150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ZA-YJV-2×4</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355</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ZA-YJV-2×6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ZA-YJV-3×120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ZA-YJV-3×35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ZA-YJV-3×6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ZA-YJV-4×16+1×10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ZA-YJV-4×25+1×16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12</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ZA-YJV-4×4</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13</w:t>
            </w:r>
          </w:p>
        </w:tc>
        <w:tc>
          <w:tcPr>
            <w:tcW w:w="27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Times New Roman" w:hAnsi="Times New Roman" w:cs="Times New Roman"/>
                <w:b w:val="0"/>
                <w:bCs w:val="0"/>
                <w:kern w:val="0"/>
                <w:sz w:val="22"/>
                <w:szCs w:val="22"/>
              </w:rPr>
            </w:pPr>
            <w:r>
              <w:rPr>
                <w:rFonts w:hint="default" w:ascii="Times New Roman" w:hAnsi="Times New Roman" w:cs="Times New Roman"/>
                <w:b w:val="0"/>
                <w:bCs w:val="0"/>
                <w:color w:val="000000"/>
                <w:kern w:val="0"/>
                <w:sz w:val="24"/>
                <w:szCs w:val="24"/>
              </w:rPr>
              <w:t>ZA-YJV-4×6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ZA-YJV-4×50+1×25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650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ZA-YJV-4×95+1×50</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ZA-YJV-5×16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ZA-YJV-5×6</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bottom"/>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三</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000000"/>
                <w:kern w:val="0"/>
                <w:sz w:val="22"/>
                <w:szCs w:val="22"/>
              </w:rPr>
              <w:t>控制电缆</w:t>
            </w:r>
          </w:p>
        </w:tc>
        <w:tc>
          <w:tcPr>
            <w:tcW w:w="627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ind w:left="0" w:leftChars="0" w:right="0" w:rightChars="0" w:firstLine="0" w:firstLineChars="0"/>
              <w:jc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bCs/>
                <w:color w:val="FF0000"/>
                <w:kern w:val="0"/>
                <w:sz w:val="22"/>
                <w:szCs w:val="22"/>
              </w:rPr>
              <w:t>要求：线芯黑底白字（数字采用阿拉伯数字）</w:t>
            </w: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DJYP2VP2-18×3×0.75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280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DJYP2VP2-8×3×0.75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340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ZA-KVV-10×2.5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4</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ZA-KVV-4×2.5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5</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ZA-KVV-7×2.5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2100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6</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ZA-KVVP-10×1.5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7</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ZA-KVVP-14×1.5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1000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8</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ZA-KVVP-4×1.5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3700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9</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4"/>
                <w:szCs w:val="24"/>
              </w:rPr>
              <w:t>ZA-KVVP-7×1.5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default" w:ascii="Times New Roman" w:hAnsi="Times New Roman" w:cs="Times New Roman"/>
                <w:b w:val="0"/>
                <w:bCs w:val="0"/>
                <w:color w:val="000000"/>
                <w:kern w:val="0"/>
                <w:sz w:val="22"/>
                <w:szCs w:val="22"/>
              </w:rPr>
              <w:t>2700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rPr>
          <w:trHeight w:val="425" w:hRule="atLeast"/>
          <w:jc w:val="center"/>
        </w:trPr>
        <w:tc>
          <w:tcPr>
            <w:tcW w:w="6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10</w:t>
            </w:r>
          </w:p>
        </w:tc>
        <w:tc>
          <w:tcPr>
            <w:tcW w:w="27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4"/>
                <w:szCs w:val="24"/>
              </w:rPr>
              <w:t>RVSP-2×2×0.5</w:t>
            </w:r>
          </w:p>
        </w:tc>
        <w:tc>
          <w:tcPr>
            <w:tcW w:w="8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米</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eastAsia="宋体" w:cs="Times New Roman"/>
                <w:b w:val="0"/>
                <w:bCs w:val="0"/>
                <w:color w:val="000000"/>
                <w:kern w:val="0"/>
                <w:sz w:val="22"/>
                <w:szCs w:val="22"/>
                <w:lang w:val="en-US" w:eastAsia="zh-CN" w:bidi="ar-SA"/>
              </w:rPr>
            </w:pPr>
            <w:r>
              <w:rPr>
                <w:rFonts w:hint="default" w:ascii="Times New Roman" w:hAnsi="Times New Roman" w:cs="Times New Roman"/>
                <w:b w:val="0"/>
                <w:bCs w:val="0"/>
                <w:color w:val="000000"/>
                <w:kern w:val="0"/>
                <w:sz w:val="22"/>
                <w:szCs w:val="22"/>
              </w:rPr>
              <w:t>800</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422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default" w:ascii="Times New Roman" w:hAnsi="Times New Roman" w:cs="Times New Roman"/>
                <w:b w:val="0"/>
                <w:bCs w:val="0"/>
                <w:color w:val="000000"/>
                <w:kern w:val="0"/>
                <w:sz w:val="22"/>
                <w:szCs w:val="22"/>
              </w:rPr>
            </w:pPr>
            <w:r>
              <w:rPr>
                <w:rFonts w:hint="eastAsia" w:asciiTheme="majorEastAsia" w:hAnsiTheme="majorEastAsia" w:eastAsiaTheme="majorEastAsia" w:cstheme="majorEastAsia"/>
                <w:color w:val="000000"/>
                <w:kern w:val="0"/>
                <w:sz w:val="24"/>
                <w:szCs w:val="24"/>
                <w:lang w:val="en-US" w:eastAsia="zh-CN"/>
              </w:rPr>
              <w:t>一、二、三项合计</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eastAsia" w:asciiTheme="majorEastAsia" w:hAnsiTheme="majorEastAsia" w:eastAsiaTheme="majorEastAsia" w:cstheme="majorEastAsia"/>
                <w:color w:val="000000"/>
                <w:kern w:val="0"/>
                <w:sz w:val="24"/>
                <w:szCs w:val="24"/>
                <w:lang w:val="en-US" w:eastAsia="zh-CN"/>
              </w:rPr>
              <w:t>/</w:t>
            </w:r>
          </w:p>
        </w:tc>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default" w:asciiTheme="majorEastAsia" w:hAnsiTheme="majorEastAsia" w:eastAsiaTheme="majorEastAsia" w:cstheme="majorEastAsia"/>
                <w:color w:val="000000"/>
                <w:kern w:val="0"/>
                <w:sz w:val="24"/>
                <w:szCs w:val="24"/>
                <w:lang w:val="en-US" w:eastAsia="zh-CN"/>
              </w:rPr>
              <w:t>/</w:t>
            </w:r>
          </w:p>
        </w:tc>
        <w:tc>
          <w:tcPr>
            <w:tcW w:w="12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default" w:asciiTheme="majorEastAsia" w:hAnsiTheme="majorEastAsia" w:eastAsiaTheme="majorEastAsia" w:cstheme="majorEastAsia"/>
                <w:color w:val="000000"/>
                <w:kern w:val="0"/>
                <w:sz w:val="24"/>
                <w:szCs w:val="24"/>
                <w:lang w:val="en-US" w:eastAsia="zh-CN" w:bidi="ar-SA"/>
              </w:rPr>
            </w:pPr>
            <w:r>
              <w:rPr>
                <w:rFonts w:hint="default" w:asciiTheme="majorEastAsia" w:hAnsiTheme="majorEastAsia" w:eastAsiaTheme="majorEastAsia" w:cstheme="majorEastAsia"/>
                <w:color w:val="000000"/>
                <w:kern w:val="0"/>
                <w:sz w:val="24"/>
                <w:szCs w:val="24"/>
                <w:lang w:val="en-US" w:eastAsia="zh-CN"/>
              </w:rPr>
              <w:t>/</w:t>
            </w:r>
          </w:p>
        </w:tc>
        <w:tc>
          <w:tcPr>
            <w:tcW w:w="146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c>
          <w:tcPr>
            <w:tcW w:w="143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imes New Roman" w:hAnsi="Times New Roman" w:cs="Times New Roman"/>
                <w:b w:val="0"/>
                <w:bCs w:val="0"/>
                <w:color w:val="000000"/>
                <w:kern w:val="0"/>
                <w:sz w:val="22"/>
                <w:szCs w:val="22"/>
              </w:rPr>
            </w:pPr>
          </w:p>
        </w:tc>
      </w:tr>
      <w:tr>
        <w:tblPrEx>
          <w:tblCellMar>
            <w:top w:w="0" w:type="dxa"/>
            <w:left w:w="23" w:type="dxa"/>
            <w:bottom w:w="0" w:type="dxa"/>
            <w:right w:w="23" w:type="dxa"/>
          </w:tblCellMar>
        </w:tblPrEx>
        <w:trPr>
          <w:trHeight w:val="425" w:hRule="atLeast"/>
          <w:jc w:val="center"/>
        </w:trPr>
        <w:tc>
          <w:tcPr>
            <w:tcW w:w="9671"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default" w:ascii="Times New Roman" w:hAnsi="Times New Roman" w:cs="Times New Roman"/>
                <w:b w:val="0"/>
                <w:bCs w:val="0"/>
                <w:color w:val="000000"/>
                <w:kern w:val="0"/>
                <w:sz w:val="22"/>
                <w:szCs w:val="22"/>
              </w:rPr>
            </w:pPr>
            <w:r>
              <w:rPr>
                <w:rFonts w:hint="eastAsia" w:ascii="Times New Roman" w:hAnsi="Times New Roman" w:cs="Times New Roman"/>
                <w:color w:val="000000"/>
                <w:kern w:val="0"/>
                <w:sz w:val="24"/>
                <w:szCs w:val="24"/>
                <w:lang w:val="en-US" w:eastAsia="zh-CN"/>
              </w:rPr>
              <w:t>报价合计（人民币大写）：</w:t>
            </w:r>
          </w:p>
        </w:tc>
      </w:tr>
    </w:tbl>
    <w:p>
      <w:pPr>
        <w:shd w:val="clea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本次电缆采购投标投标价格为送货到招标人工地指定地点的价格，报价中均包含（但不限于）货款、验收、检测</w:t>
      </w:r>
      <w:r>
        <w:rPr>
          <w:rFonts w:hint="eastAsia" w:ascii="Times New Roman" w:hAnsi="Times New Roman"/>
          <w:sz w:val="24"/>
          <w:szCs w:val="24"/>
          <w:lang w:val="en-US" w:eastAsia="zh-CN"/>
        </w:rPr>
        <w:t>(含工程相关方委托第三方检测费用)</w:t>
      </w:r>
      <w:r>
        <w:rPr>
          <w:rFonts w:hint="eastAsia" w:asciiTheme="minorEastAsia" w:hAnsiTheme="minorEastAsia" w:eastAsiaTheme="minorEastAsia"/>
          <w:sz w:val="24"/>
          <w:szCs w:val="24"/>
        </w:rPr>
        <w:t>、运输、卸货、利润、税费等一切费用，并包含货物装车、运输及全过程中的安全、保险、措施等费用以及如发生安全事故导致的损失和赔偿费用，提供13%的增值税专用发票（税金由中标人承担，包含在投标价格中），中标人不得以任何理由额外索取任何费用。投标单价为固定综合单价，供应期及供应量内单价不随市场价格变动而调整。</w:t>
      </w:r>
    </w:p>
    <w:p>
      <w:pPr>
        <w:shd w:val="clea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本次招标的电缆材料数量为供货期内施工图纸中采购数量，实际供货数量有可能会有少许调整，以乙方根据项目实际需求通知的数量为准，最终结算数量以甲方在工地收货现场收到的电缆数量为准。</w:t>
      </w:r>
    </w:p>
    <w:p>
      <w:pPr>
        <w:shd w:val="clea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shd w:val="clea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shd w:val="clear" w:color="auto" w:fill="auto"/>
            <w:vAlign w:val="center"/>
          </w:tcPr>
          <w:p>
            <w:pPr>
              <w:shd w:val="clea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shd w:val="clear" w:color="auto" w:fill="auto"/>
            <w:vAlign w:val="center"/>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1、电缆各项技术参数必须符合国家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pPr>
        <w:shd w:val="clear"/>
        <w:spacing w:line="312"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2、供应过程中严格保证电缆质量，如若供应过程中甲方查出供应商以次充好，甲方将没收其履约保证金，同时乙方需甲方支付违约金</w:t>
      </w:r>
      <w:r>
        <w:rPr>
          <w:rFonts w:asciiTheme="minorEastAsia" w:hAnsiTheme="minorEastAsia" w:eastAsiaTheme="minorEastAsia"/>
          <w:sz w:val="24"/>
          <w:szCs w:val="24"/>
        </w:rPr>
        <w:t>5万元。</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pPr>
        <w:shd w:val="clear"/>
        <w:spacing w:line="360" w:lineRule="auto"/>
        <w:ind w:left="40" w:firstLine="361" w:firstLineChars="150"/>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sz w:val="24"/>
          <w:szCs w:val="24"/>
        </w:rPr>
        <w:t>散装</w:t>
      </w:r>
      <w:r>
        <w:rPr>
          <w:rFonts w:asciiTheme="minorEastAsia" w:hAnsiTheme="minorEastAsia" w:eastAsiaTheme="minorEastAsia"/>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pPr>
        <w:shd w:val="clear"/>
        <w:spacing w:line="360" w:lineRule="auto"/>
        <w:ind w:left="40" w:firstLine="482" w:firstLineChars="200"/>
        <w:rPr>
          <w:rFonts w:asciiTheme="minorEastAsia" w:hAnsiTheme="minorEastAsia" w:eastAsiaTheme="minorEastAsia"/>
          <w:sz w:val="24"/>
          <w:szCs w:val="24"/>
        </w:rPr>
      </w:pPr>
      <w:r>
        <w:rPr>
          <w:rFonts w:asciiTheme="minorEastAsia" w:hAnsiTheme="minorEastAsia" w:eastAsiaTheme="minorEastAsia"/>
          <w:b/>
          <w:sz w:val="24"/>
          <w:szCs w:val="24"/>
        </w:rPr>
        <w:t>五、合理损耗标准及计算方法：</w:t>
      </w:r>
      <w:r>
        <w:rPr>
          <w:rFonts w:hint="eastAsia" w:asciiTheme="minorEastAsia" w:hAnsiTheme="minorEastAsia" w:eastAsiaTheme="minorEastAsia"/>
          <w:sz w:val="24"/>
          <w:szCs w:val="24"/>
        </w:rPr>
        <w:t>电缆桥架及配件</w:t>
      </w:r>
      <w:r>
        <w:rPr>
          <w:rFonts w:asciiTheme="minorEastAsia" w:hAnsiTheme="minorEastAsia" w:eastAsiaTheme="minorEastAsia"/>
          <w:sz w:val="24"/>
          <w:szCs w:val="24"/>
        </w:rPr>
        <w:t>无损耗。</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六、</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Theme="minorEastAsia" w:hAnsiTheme="minorEastAsia" w:eastAsiaTheme="minorEastAsia"/>
          <w:sz w:val="24"/>
          <w:szCs w:val="24"/>
        </w:rPr>
        <w:t>电缆需</w:t>
      </w:r>
      <w:r>
        <w:rPr>
          <w:rFonts w:asciiTheme="minorEastAsia" w:hAnsiTheme="minorEastAsia" w:eastAsiaTheme="minorEastAsia"/>
          <w:sz w:val="24"/>
          <w:szCs w:val="24"/>
        </w:rPr>
        <w:t>检验合格，如检验不合格乙方承担一切费用和责任。</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3、乙方所供</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不能满足甲方施工现场需求时，甲方有权要求退货。如因质量问题或供应商的其它原因，造成的退、换货时，市场</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价格上调则按原进货价格不作调整；如换货当期市场价格下调则按进场当期市场价格进行结算。</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送到甲方工地指定地点时，应随车携带该批</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相应的</w:t>
      </w:r>
      <w:r>
        <w:rPr>
          <w:rFonts w:hint="eastAsia" w:asciiTheme="minorEastAsia" w:hAnsiTheme="minorEastAsia" w:eastAsiaTheme="minorEastAsia"/>
          <w:sz w:val="24"/>
          <w:szCs w:val="24"/>
        </w:rPr>
        <w:t>出厂合格证明等材料</w:t>
      </w:r>
      <w:r>
        <w:rPr>
          <w:rFonts w:asciiTheme="minorEastAsia" w:hAnsiTheme="minorEastAsia" w:eastAsiaTheme="minorEastAsia"/>
          <w:sz w:val="24"/>
          <w:szCs w:val="24"/>
        </w:rPr>
        <w:t>交给甲方。甲方指派在工地现场签认，并核对送货签收单所载内容与实际</w:t>
      </w:r>
      <w:r>
        <w:rPr>
          <w:rFonts w:hint="eastAsia" w:asciiTheme="minorEastAsia" w:hAnsiTheme="minorEastAsia" w:eastAsiaTheme="minorEastAsia"/>
          <w:sz w:val="24"/>
          <w:szCs w:val="24"/>
        </w:rPr>
        <w:t>电缆桥架及配件</w:t>
      </w:r>
      <w:r>
        <w:rPr>
          <w:rFonts w:asciiTheme="minorEastAsia" w:hAnsiTheme="minorEastAsia" w:eastAsiaTheme="minorEastAsia"/>
          <w:sz w:val="24"/>
          <w:szCs w:val="24"/>
        </w:rPr>
        <w:t>是否相符，如有异议需当场提出。甲方对质量有异议的可在收货后15个工作日内，以书面形式向乙方提出。</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电缆的外观质量、规格型号及厚度进行验收，如出现外观质量及规格型号及厚度与招标清单不符，甲方有权拒收。如出现质量问题，由乙方负责退场，费用自理。因供货质量问题造成的一切损失由乙方承担。</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、乙方交付的产品质量、规格型号不符合合同约定时甲方有权拒绝收货，由此导致</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交付延迟，乙方承担违约责任。</w:t>
      </w:r>
    </w:p>
    <w:p>
      <w:pPr>
        <w:shd w:val="clear"/>
        <w:spacing w:line="360" w:lineRule="auto"/>
        <w:ind w:left="40" w:firstLine="482" w:firstLineChars="200"/>
        <w:rPr>
          <w:rFonts w:asciiTheme="minorEastAsia" w:hAnsiTheme="minorEastAsia" w:eastAsiaTheme="minorEastAsia"/>
          <w:sz w:val="24"/>
          <w:szCs w:val="24"/>
        </w:rPr>
      </w:pPr>
      <w:r>
        <w:rPr>
          <w:rFonts w:asciiTheme="minorEastAsia" w:hAnsiTheme="minorEastAsia" w:eastAsiaTheme="minorEastAsia"/>
          <w:b/>
          <w:sz w:val="24"/>
          <w:szCs w:val="24"/>
        </w:rPr>
        <w:t>七、</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所有权自交货时转移；材料毁损、灭失的风险自本合同约定检验期间届满之日起由甲方承担；经按约定检验，质量不符合本合同约定时，毁损、灭失风险仍然由乙方承担。</w:t>
      </w:r>
    </w:p>
    <w:p>
      <w:pPr>
        <w:shd w:val="clea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结算和付款方式：</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pPr>
        <w:shd w:val="clear" w:color="auto"/>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rPr>
        <w:t>电缆运送到招标人项目施工现场经业主、监理验收合格，双方办理结算手续，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color w:val="000000" w:themeColor="text1"/>
          <w:sz w:val="24"/>
          <w:szCs w:val="24"/>
        </w:rPr>
        <w:t>电缆</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pPr>
        <w:shd w:val="clear" w:color="auto"/>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本次采购签订合同后可支付中标人20%的预付款，中标人必须提供相等金额的预付款担保</w:t>
      </w:r>
      <w:r>
        <w:rPr>
          <w:rFonts w:hint="eastAsia" w:asciiTheme="minorEastAsia" w:hAnsiTheme="minorEastAsia" w:eastAsiaTheme="minorEastAsia"/>
          <w:sz w:val="24"/>
          <w:szCs w:val="24"/>
        </w:rPr>
        <w:t>（</w:t>
      </w:r>
      <w:r>
        <w:rPr>
          <w:rFonts w:hint="eastAsia" w:asciiTheme="minorEastAsia" w:hAnsiTheme="minorEastAsia" w:eastAsiaTheme="minorEastAsia"/>
          <w:b/>
          <w:bCs/>
          <w:sz w:val="24"/>
          <w:szCs w:val="24"/>
        </w:rPr>
        <w:t>必须是甲方认可的银行保函，不接受保险保函或其他形式的担保</w:t>
      </w:r>
      <w:r>
        <w:rPr>
          <w:rFonts w:hint="eastAsia" w:asciiTheme="minorEastAsia" w:hAnsiTheme="minorEastAsia" w:eastAsiaTheme="minorEastAsia"/>
          <w:sz w:val="24"/>
          <w:szCs w:val="24"/>
        </w:rPr>
        <w:t>）</w:t>
      </w:r>
      <w:r>
        <w:rPr>
          <w:rFonts w:hint="eastAsia" w:ascii="Times New Roman" w:hAnsi="Times New Roman"/>
          <w:sz w:val="24"/>
          <w:szCs w:val="24"/>
        </w:rPr>
        <w:t>，中标人无法提供担保可放弃预付款。甲方根据审核无误的最终结算单并在收到乙方结算价款等额增值税专用发票、</w:t>
      </w:r>
      <w:r>
        <w:rPr>
          <w:rFonts w:hint="eastAsia" w:ascii="Times New Roman" w:hAnsi="Times New Roman"/>
          <w:color w:val="000000" w:themeColor="text1"/>
          <w:sz w:val="24"/>
          <w:szCs w:val="24"/>
        </w:rPr>
        <w:t>质量证明书等资料后，货到现场经验收后付至最终结算价的85%（含预付款），供电局验收供电以后付至最终结算价总额的95%，余款5%作为质保金至结算起满一年后一个月内付清。支付款项前，乙方</w:t>
      </w:r>
      <w:r>
        <w:rPr>
          <w:rFonts w:hint="eastAsia" w:ascii="Times New Roman" w:hAnsi="Times New Roman"/>
          <w:sz w:val="24"/>
          <w:szCs w:val="24"/>
        </w:rPr>
        <w:t>须按付款额开具并加盖财务专用章的收款收据。</w:t>
      </w:r>
    </w:p>
    <w:p>
      <w:pPr>
        <w:shd w:val="clea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7" w:name="_Hlk77770211"/>
      <w:r>
        <w:rPr>
          <w:rFonts w:asciiTheme="minorEastAsia" w:hAnsiTheme="minorEastAsia" w:eastAsiaTheme="minorEastAsia"/>
          <w:sz w:val="24"/>
          <w:szCs w:val="24"/>
        </w:rPr>
        <w:t>明显有损于甲方利益的合同条款变更事项</w:t>
      </w:r>
      <w:bookmarkEnd w:id="7"/>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hd w:val="clear"/>
        <w:spacing w:line="360" w:lineRule="auto"/>
        <w:ind w:left="40" w:firstLine="480" w:firstLineChars="200"/>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3、</w:t>
      </w:r>
      <w:r>
        <w:rPr>
          <w:rFonts w:hint="eastAsia" w:asciiTheme="minorEastAsia" w:hAnsiTheme="minorEastAsia" w:eastAsiaTheme="minorEastAsia"/>
          <w:color w:val="000000" w:themeColor="text1"/>
          <w:sz w:val="24"/>
          <w:szCs w:val="24"/>
          <w:lang w:val="en-US" w:eastAsia="zh-CN"/>
        </w:rPr>
        <w:t>合同签订前，</w:t>
      </w:r>
      <w:r>
        <w:rPr>
          <w:rFonts w:hint="eastAsia" w:asciiTheme="minorEastAsia" w:hAnsiTheme="minorEastAsia" w:eastAsiaTheme="minorEastAsia"/>
          <w:color w:val="000000" w:themeColor="text1"/>
          <w:sz w:val="24"/>
          <w:szCs w:val="24"/>
        </w:rPr>
        <w:t>乙方</w:t>
      </w:r>
      <w:r>
        <w:rPr>
          <w:rFonts w:hint="eastAsia" w:asciiTheme="minorEastAsia" w:hAnsiTheme="minorEastAsia" w:eastAsiaTheme="minorEastAsia"/>
          <w:color w:val="000000" w:themeColor="text1"/>
          <w:sz w:val="24"/>
          <w:szCs w:val="24"/>
          <w:lang w:val="en-US" w:eastAsia="zh-CN"/>
        </w:rPr>
        <w:t>须</w:t>
      </w:r>
      <w:r>
        <w:rPr>
          <w:rFonts w:hint="eastAsia" w:asciiTheme="minorEastAsia" w:hAnsiTheme="minorEastAsia" w:eastAsiaTheme="minorEastAsia"/>
          <w:color w:val="000000" w:themeColor="text1"/>
          <w:sz w:val="24"/>
          <w:szCs w:val="24"/>
        </w:rPr>
        <w:t>向甲方单位账户汇入人民币</w:t>
      </w:r>
      <w:r>
        <w:rPr>
          <w:rFonts w:hint="eastAsia" w:asciiTheme="minorEastAsia" w:hAnsiTheme="minorEastAsia" w:eastAsiaTheme="minorEastAsia"/>
          <w:b/>
          <w:bCs/>
          <w:color w:val="000000" w:themeColor="text1"/>
          <w:sz w:val="24"/>
          <w:szCs w:val="24"/>
          <w:u w:val="single"/>
        </w:rPr>
        <w:t>壹拾</w:t>
      </w:r>
      <w:r>
        <w:rPr>
          <w:rFonts w:hint="eastAsia" w:asciiTheme="minorEastAsia" w:hAnsiTheme="minorEastAsia" w:eastAsiaTheme="minorEastAsia"/>
          <w:b/>
          <w:bCs/>
          <w:color w:val="000000" w:themeColor="text1"/>
          <w:sz w:val="24"/>
          <w:szCs w:val="24"/>
          <w:u w:val="single"/>
          <w:lang w:val="en-US" w:eastAsia="zh-CN"/>
        </w:rPr>
        <w:t>万</w:t>
      </w:r>
      <w:r>
        <w:rPr>
          <w:rFonts w:hint="eastAsia" w:asciiTheme="minorEastAsia" w:hAnsiTheme="minorEastAsia" w:eastAsiaTheme="minorEastAsia"/>
          <w:b/>
          <w:bCs/>
          <w:color w:val="000000" w:themeColor="text1"/>
          <w:sz w:val="24"/>
          <w:szCs w:val="24"/>
          <w:u w:val="single"/>
        </w:rPr>
        <w:t>元整</w:t>
      </w:r>
      <w:r>
        <w:rPr>
          <w:rFonts w:hint="eastAsia" w:asciiTheme="minorEastAsia" w:hAnsiTheme="minorEastAsia" w:eastAsiaTheme="minorEastAsia"/>
          <w:color w:val="000000" w:themeColor="text1"/>
          <w:sz w:val="24"/>
          <w:szCs w:val="24"/>
        </w:rPr>
        <w:t>履约保证金（</w:t>
      </w:r>
      <w:r>
        <w:rPr>
          <w:rFonts w:hint="eastAsia" w:asciiTheme="minorEastAsia" w:hAnsiTheme="minorEastAsia" w:eastAsiaTheme="minorEastAsia"/>
          <w:b/>
          <w:bCs/>
          <w:color w:val="000000" w:themeColor="text1"/>
          <w:sz w:val="24"/>
          <w:szCs w:val="24"/>
        </w:rPr>
        <w:t>可以银行转账、现金、银行汇票、银行本票，不接受其他任何方式</w:t>
      </w:r>
      <w:r>
        <w:rPr>
          <w:rFonts w:hint="eastAsia" w:asciiTheme="minorEastAsia" w:hAnsiTheme="minorEastAsia" w:eastAsiaTheme="minorEastAsia"/>
          <w:color w:val="000000" w:themeColor="text1"/>
          <w:sz w:val="24"/>
          <w:szCs w:val="24"/>
        </w:rPr>
        <w:t>），在乙方供货全部结束且无瑕疵履行完本合同约定的所有义务后</w:t>
      </w:r>
      <w:r>
        <w:rPr>
          <w:rFonts w:hint="eastAsia" w:asciiTheme="minorEastAsia" w:hAnsiTheme="minorEastAsia" w:eastAsiaTheme="minorEastAsia"/>
          <w:color w:val="000000" w:themeColor="text1"/>
          <w:sz w:val="24"/>
          <w:szCs w:val="24"/>
          <w:u w:val="single"/>
        </w:rPr>
        <w:t xml:space="preserve"> 30 </w:t>
      </w:r>
      <w:r>
        <w:rPr>
          <w:rFonts w:hint="eastAsia" w:asciiTheme="minorEastAsia" w:hAnsiTheme="minorEastAsia" w:eastAsiaTheme="minorEastAsia"/>
          <w:color w:val="000000" w:themeColor="text1"/>
          <w:sz w:val="24"/>
          <w:szCs w:val="24"/>
        </w:rPr>
        <w:t>个工作日内无息退还。履约保证金汇入以下银行账户：</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户名：江苏省水利建设工程有限公司</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银行：中国建设银行扬州琼花支行</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账号：32001745736050488688</w:t>
      </w:r>
    </w:p>
    <w:p>
      <w:pPr>
        <w:shd w:val="clear"/>
        <w:spacing w:line="360" w:lineRule="auto"/>
        <w:ind w:left="40" w:firstLine="482" w:firstLineChars="200"/>
        <w:rPr>
          <w:rFonts w:asciiTheme="minorEastAsia" w:hAnsiTheme="minorEastAsia" w:eastAsiaTheme="minorEastAsia"/>
          <w:b/>
          <w:color w:val="000000" w:themeColor="text1"/>
          <w:sz w:val="24"/>
          <w:szCs w:val="24"/>
        </w:rPr>
      </w:pPr>
      <w:r>
        <w:rPr>
          <w:rFonts w:asciiTheme="minorEastAsia" w:hAnsiTheme="minorEastAsia" w:eastAsiaTheme="minorEastAsia"/>
          <w:b/>
          <w:color w:val="000000" w:themeColor="text1"/>
          <w:sz w:val="24"/>
          <w:szCs w:val="24"/>
        </w:rPr>
        <w:t>十、违约责任</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、解决争议的方式</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hd w:val="clear"/>
        <w:spacing w:line="360" w:lineRule="auto"/>
        <w:ind w:left="40" w:firstLine="482" w:firstLineChars="200"/>
        <w:rPr>
          <w:rFonts w:hint="eastAsia" w:eastAsia="宋体" w:asciiTheme="minorEastAsia" w:hAnsiTheme="minorEastAsia"/>
          <w:color w:val="0000FF"/>
          <w:sz w:val="24"/>
          <w:szCs w:val="24"/>
          <w:lang w:val="en-US" w:eastAsia="zh-CN"/>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w:t>
      </w:r>
      <w:r>
        <w:rPr>
          <w:rFonts w:hint="eastAsia" w:asciiTheme="minorEastAsia" w:hAnsiTheme="minorEastAsia" w:eastAsiaTheme="minorEastAsia"/>
          <w:color w:val="auto"/>
          <w:sz w:val="24"/>
          <w:szCs w:val="24"/>
        </w:rPr>
        <w:t>本合同自双方代表签字并加盖公章，且</w:t>
      </w:r>
      <w:r>
        <w:rPr>
          <w:rFonts w:hint="eastAsia" w:asciiTheme="minorEastAsia" w:hAnsiTheme="minorEastAsia" w:eastAsiaTheme="minorEastAsia"/>
          <w:color w:val="auto"/>
          <w:sz w:val="24"/>
          <w:szCs w:val="24"/>
          <w:lang w:val="en-US" w:eastAsia="zh-CN"/>
        </w:rPr>
        <w:t>甲方收到乙方汇入的</w:t>
      </w:r>
      <w:r>
        <w:rPr>
          <w:rFonts w:hint="eastAsia" w:asciiTheme="minorEastAsia" w:hAnsiTheme="minorEastAsia" w:eastAsiaTheme="minorEastAsia"/>
          <w:color w:val="auto"/>
          <w:sz w:val="24"/>
          <w:szCs w:val="24"/>
        </w:rPr>
        <w:t>履约保证金和</w:t>
      </w:r>
      <w:r>
        <w:rPr>
          <w:rFonts w:hint="eastAsia" w:asciiTheme="minorEastAsia" w:hAnsiTheme="minorEastAsia" w:eastAsiaTheme="minorEastAsia"/>
          <w:b/>
          <w:bCs/>
          <w:color w:val="auto"/>
          <w:sz w:val="24"/>
          <w:szCs w:val="24"/>
        </w:rPr>
        <w:t>提供</w:t>
      </w:r>
      <w:r>
        <w:rPr>
          <w:rFonts w:hint="eastAsia" w:asciiTheme="minorEastAsia" w:hAnsiTheme="minorEastAsia" w:eastAsiaTheme="minorEastAsia"/>
          <w:b/>
          <w:color w:val="auto"/>
          <w:sz w:val="24"/>
          <w:szCs w:val="24"/>
        </w:rPr>
        <w:t>电缆厂</w:t>
      </w:r>
      <w:r>
        <w:rPr>
          <w:rFonts w:hint="eastAsia" w:asciiTheme="minorEastAsia" w:hAnsiTheme="minorEastAsia" w:eastAsiaTheme="minorEastAsia"/>
          <w:b/>
          <w:bCs/>
          <w:color w:val="auto"/>
          <w:sz w:val="24"/>
          <w:szCs w:val="24"/>
        </w:rPr>
        <w:t>盖章的经销商证明资料后合同生效</w:t>
      </w:r>
      <w:r>
        <w:rPr>
          <w:rFonts w:hint="eastAsia" w:asciiTheme="minorEastAsia" w:hAnsiTheme="minorEastAsia" w:eastAsiaTheme="minorEastAsia"/>
          <w:color w:val="auto"/>
          <w:sz w:val="24"/>
          <w:szCs w:val="24"/>
          <w:lang w:eastAsia="zh-CN"/>
        </w:rPr>
        <w:t>。</w:t>
      </w:r>
      <w:r>
        <w:rPr>
          <w:rFonts w:hint="eastAsia"/>
          <w:bCs/>
          <w:color w:val="auto"/>
          <w:sz w:val="24"/>
          <w:szCs w:val="24"/>
          <w:lang w:val="en-US" w:eastAsia="zh-CN"/>
        </w:rPr>
        <w:t>本合同</w:t>
      </w:r>
      <w:r>
        <w:rPr>
          <w:rFonts w:hint="eastAsia"/>
          <w:bCs/>
          <w:color w:val="auto"/>
          <w:sz w:val="24"/>
          <w:szCs w:val="24"/>
        </w:rPr>
        <w:t>一式</w:t>
      </w:r>
      <w:r>
        <w:rPr>
          <w:rFonts w:hint="eastAsia"/>
          <w:bCs/>
          <w:color w:val="auto"/>
          <w:sz w:val="24"/>
          <w:szCs w:val="24"/>
          <w:u w:val="single"/>
          <w:lang w:val="en-US" w:eastAsia="zh-CN"/>
        </w:rPr>
        <w:t xml:space="preserve">   </w:t>
      </w:r>
      <w:r>
        <w:rPr>
          <w:rFonts w:hint="eastAsia"/>
          <w:bCs/>
          <w:color w:val="auto"/>
          <w:sz w:val="24"/>
          <w:szCs w:val="24"/>
        </w:rPr>
        <w:t>份，甲方执</w:t>
      </w:r>
      <w:r>
        <w:rPr>
          <w:rFonts w:hint="eastAsia"/>
          <w:bCs/>
          <w:color w:val="auto"/>
          <w:sz w:val="24"/>
          <w:szCs w:val="24"/>
          <w:u w:val="single"/>
          <w:lang w:val="en-US" w:eastAsia="zh-CN"/>
        </w:rPr>
        <w:t xml:space="preserve">    </w:t>
      </w:r>
      <w:r>
        <w:rPr>
          <w:rFonts w:hint="eastAsia"/>
          <w:bCs/>
          <w:color w:val="auto"/>
          <w:sz w:val="24"/>
          <w:szCs w:val="24"/>
        </w:rPr>
        <w:t>份，</w:t>
      </w:r>
      <w:r>
        <w:rPr>
          <w:rFonts w:hint="eastAsia"/>
          <w:bCs/>
          <w:color w:val="auto"/>
          <w:sz w:val="24"/>
          <w:szCs w:val="24"/>
          <w:lang w:val="en-US" w:eastAsia="zh-CN"/>
        </w:rPr>
        <w:t>乙</w:t>
      </w:r>
      <w:r>
        <w:rPr>
          <w:rFonts w:hint="eastAsia"/>
          <w:bCs/>
          <w:color w:val="auto"/>
          <w:sz w:val="24"/>
          <w:szCs w:val="24"/>
        </w:rPr>
        <w:t>方执</w:t>
      </w:r>
      <w:r>
        <w:rPr>
          <w:rFonts w:hint="eastAsia"/>
          <w:bCs/>
          <w:color w:val="auto"/>
          <w:sz w:val="24"/>
          <w:szCs w:val="24"/>
          <w:u w:val="single"/>
          <w:lang w:val="en-US" w:eastAsia="zh-CN"/>
        </w:rPr>
        <w:t xml:space="preserve">   </w:t>
      </w:r>
      <w:r>
        <w:rPr>
          <w:rFonts w:hint="eastAsia"/>
          <w:bCs/>
          <w:color w:val="auto"/>
          <w:sz w:val="24"/>
          <w:szCs w:val="24"/>
        </w:rPr>
        <w:t>份具有同等法律效力。签订时间：</w:t>
      </w:r>
      <w:r>
        <w:rPr>
          <w:rFonts w:hint="eastAsia"/>
          <w:bCs/>
          <w:color w:val="auto"/>
          <w:sz w:val="24"/>
          <w:szCs w:val="24"/>
          <w:u w:val="single"/>
        </w:rPr>
        <w:t xml:space="preserve">     </w:t>
      </w:r>
      <w:r>
        <w:rPr>
          <w:rFonts w:hint="eastAsia"/>
          <w:bCs/>
          <w:color w:val="auto"/>
          <w:sz w:val="24"/>
          <w:szCs w:val="24"/>
        </w:rPr>
        <w:t>年</w:t>
      </w:r>
      <w:r>
        <w:rPr>
          <w:rFonts w:hint="eastAsia"/>
          <w:bCs/>
          <w:color w:val="auto"/>
          <w:sz w:val="24"/>
          <w:szCs w:val="24"/>
          <w:u w:val="single"/>
        </w:rPr>
        <w:t xml:space="preserve">   </w:t>
      </w:r>
      <w:r>
        <w:rPr>
          <w:rFonts w:hint="eastAsia"/>
          <w:bCs/>
          <w:color w:val="auto"/>
          <w:sz w:val="24"/>
          <w:szCs w:val="24"/>
        </w:rPr>
        <w:t>月</w:t>
      </w:r>
      <w:r>
        <w:rPr>
          <w:rFonts w:hint="eastAsia"/>
          <w:bCs/>
          <w:color w:val="auto"/>
          <w:sz w:val="24"/>
          <w:szCs w:val="24"/>
          <w:u w:val="single"/>
        </w:rPr>
        <w:t xml:space="preserve">   </w:t>
      </w:r>
      <w:r>
        <w:rPr>
          <w:rFonts w:hint="eastAsia"/>
          <w:bCs/>
          <w:color w:val="auto"/>
          <w:sz w:val="24"/>
          <w:szCs w:val="24"/>
        </w:rPr>
        <w:t>日</w:t>
      </w:r>
      <w:r>
        <w:rPr>
          <w:rFonts w:hint="eastAsia"/>
          <w:bCs/>
          <w:color w:val="auto"/>
          <w:sz w:val="24"/>
          <w:szCs w:val="24"/>
          <w:lang w:eastAsia="zh-CN"/>
        </w:rPr>
        <w:t>。</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三</w:t>
      </w:r>
      <w:r>
        <w:rPr>
          <w:rFonts w:asciiTheme="minorEastAsia" w:hAnsiTheme="minorEastAsia" w:eastAsiaTheme="minorEastAsia"/>
          <w:b/>
          <w:sz w:val="24"/>
          <w:szCs w:val="24"/>
        </w:rPr>
        <w:t>、本合同附件：</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技术条款；</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Theme="minorEastAsia" w:hAnsiTheme="minorEastAsia" w:eastAsiaTheme="minorEastAsia"/>
          <w:sz w:val="24"/>
          <w:szCs w:val="24"/>
        </w:rPr>
        <w:t>电缆采购的招标文件、乙方的投标文件。</w:t>
      </w:r>
    </w:p>
    <w:p>
      <w:pPr>
        <w:shd w:val="clear"/>
        <w:ind w:firstLine="420"/>
        <w:rPr>
          <w:rFonts w:asciiTheme="minorEastAsia" w:hAnsiTheme="minorEastAsia" w:eastAsiaTheme="minorEastAsia"/>
          <w:sz w:val="24"/>
          <w:szCs w:val="24"/>
        </w:rPr>
      </w:pP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乙方：</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联系地址：</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联系地址：</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法定代表人：</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授权委托人：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授权委托人：</w:t>
      </w:r>
    </w:p>
    <w:p>
      <w:pPr>
        <w:shd w:val="clear"/>
        <w:tabs>
          <w:tab w:val="left" w:pos="5040"/>
        </w:tabs>
        <w:spacing w:line="48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rPr>
        <w:t>联系电话：</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联系电话：</w:t>
      </w:r>
    </w:p>
    <w:sectPr>
      <w:headerReference r:id="rId5" w:type="default"/>
      <w:footerReference r:id="rId6" w:type="default"/>
      <w:pgSz w:w="11906" w:h="16838"/>
      <w:pgMar w:top="1417" w:right="1247" w:bottom="1417" w:left="1247" w:header="1020" w:footer="90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2402C9-2620-42D4-BBF1-B488B2A4E6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2A1BE21E-6369-4296-BD8F-D0FC0518ADAC}"/>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905BA16F-97D5-4D73-8472-3927F174E09B}"/>
  </w:font>
  <w:font w:name="Microsoft JhengHei">
    <w:panose1 w:val="020B0604030504040204"/>
    <w:charset w:val="88"/>
    <w:family w:val="swiss"/>
    <w:pitch w:val="default"/>
    <w:sig w:usb0="000002A7" w:usb1="28CF4400" w:usb2="00000016" w:usb3="00000000" w:csb0="00100009" w:csb1="00000000"/>
    <w:embedRegular r:id="rId4" w:fontKey="{D3EE50BB-06DE-4D80-B9D6-351F9130FB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bidi w:val="0"/>
      <w:adjustRightInd/>
      <w:snapToGrid/>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bookmarkStart w:id="8" w:name="_Hlk148369381"/>
    <w:bookmarkStart w:id="9" w:name="_Hlk148369380"/>
    <w:r>
      <w:rPr>
        <w:rFonts w:hint="eastAsia"/>
      </w:rPr>
      <w:t xml:space="preserve">秦淮新河水利枢纽改扩建工程土建施工及设备安装         </w:t>
    </w:r>
    <w:r>
      <w:rPr>
        <w:rFonts w:hint="eastAsia"/>
        <w:lang w:val="en-US" w:eastAsia="zh-CN"/>
      </w:rPr>
      <w:t xml:space="preserve">                      </w:t>
    </w:r>
    <w:r>
      <w:rPr>
        <w:rFonts w:hint="eastAsia"/>
      </w:rPr>
      <w:t xml:space="preserve">   电缆采购</w:t>
    </w:r>
    <w:r>
      <w:rPr>
        <w:rFonts w:hint="eastAsia"/>
        <w:lang w:val="en-US" w:eastAsia="zh-CN"/>
      </w:rPr>
      <w:t>投</w:t>
    </w:r>
    <w:r>
      <w:rPr>
        <w:rFonts w:hint="eastAsia"/>
      </w:rPr>
      <w:t>标文件</w:t>
    </w:r>
    <w:bookmarkEnd w:id="8"/>
    <w:bookmarkEnd w:id="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C5406"/>
    <w:multiLevelType w:val="singleLevel"/>
    <w:tmpl w:val="94BC5406"/>
    <w:lvl w:ilvl="0" w:tentative="0">
      <w:start w:val="1"/>
      <w:numFmt w:val="lowerRoman"/>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ZlNzllZWIzODY3YmJiZDkzYWMwYWZmMDIwN2UwN2U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1BB6"/>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146D"/>
    <w:rsid w:val="00137E75"/>
    <w:rsid w:val="00166E1A"/>
    <w:rsid w:val="00184E0A"/>
    <w:rsid w:val="00187F12"/>
    <w:rsid w:val="0019635F"/>
    <w:rsid w:val="00196CBA"/>
    <w:rsid w:val="001B308F"/>
    <w:rsid w:val="001B3DDE"/>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1B96"/>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77A5"/>
    <w:rsid w:val="005F454D"/>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7ED2"/>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04DCB"/>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3F65"/>
    <w:rsid w:val="00B261D1"/>
    <w:rsid w:val="00B30B6E"/>
    <w:rsid w:val="00B43DAD"/>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4087"/>
    <w:rsid w:val="00D70B17"/>
    <w:rsid w:val="00D802D2"/>
    <w:rsid w:val="00D8146F"/>
    <w:rsid w:val="00D844DC"/>
    <w:rsid w:val="00DA3458"/>
    <w:rsid w:val="00DA43BE"/>
    <w:rsid w:val="00DC57E7"/>
    <w:rsid w:val="00DD03EA"/>
    <w:rsid w:val="00DD11C2"/>
    <w:rsid w:val="00DE602F"/>
    <w:rsid w:val="00DF262C"/>
    <w:rsid w:val="00DF2CB6"/>
    <w:rsid w:val="00DF3220"/>
    <w:rsid w:val="00DF5A33"/>
    <w:rsid w:val="00E00F22"/>
    <w:rsid w:val="00E0186B"/>
    <w:rsid w:val="00E06822"/>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6688"/>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1A249C3"/>
    <w:rsid w:val="02692AE6"/>
    <w:rsid w:val="026B74AB"/>
    <w:rsid w:val="028B38C4"/>
    <w:rsid w:val="03F53FA0"/>
    <w:rsid w:val="056703FD"/>
    <w:rsid w:val="060C4B01"/>
    <w:rsid w:val="07746BF3"/>
    <w:rsid w:val="083420ED"/>
    <w:rsid w:val="08FC70AE"/>
    <w:rsid w:val="09AB5EF1"/>
    <w:rsid w:val="0A80786B"/>
    <w:rsid w:val="0AB47515"/>
    <w:rsid w:val="0ACB4452"/>
    <w:rsid w:val="0AE66899"/>
    <w:rsid w:val="0BBE5445"/>
    <w:rsid w:val="0BE10A0F"/>
    <w:rsid w:val="0C4867C4"/>
    <w:rsid w:val="0DDA3736"/>
    <w:rsid w:val="0EBE0962"/>
    <w:rsid w:val="0FC0346E"/>
    <w:rsid w:val="101C1DE4"/>
    <w:rsid w:val="10321608"/>
    <w:rsid w:val="10950A41"/>
    <w:rsid w:val="113D27B5"/>
    <w:rsid w:val="116A32BE"/>
    <w:rsid w:val="12827186"/>
    <w:rsid w:val="130354DD"/>
    <w:rsid w:val="13E659B1"/>
    <w:rsid w:val="14CD5DA3"/>
    <w:rsid w:val="165D4F05"/>
    <w:rsid w:val="16A668AC"/>
    <w:rsid w:val="170535D2"/>
    <w:rsid w:val="17CA481C"/>
    <w:rsid w:val="17E94CA2"/>
    <w:rsid w:val="193E726F"/>
    <w:rsid w:val="19BF1C12"/>
    <w:rsid w:val="19F85670"/>
    <w:rsid w:val="1A561651"/>
    <w:rsid w:val="1A9A1998"/>
    <w:rsid w:val="1ACA0728"/>
    <w:rsid w:val="1C674573"/>
    <w:rsid w:val="1D27048F"/>
    <w:rsid w:val="1DAD0520"/>
    <w:rsid w:val="1DB95116"/>
    <w:rsid w:val="1E905236"/>
    <w:rsid w:val="20A51982"/>
    <w:rsid w:val="20AC0F62"/>
    <w:rsid w:val="22723AE6"/>
    <w:rsid w:val="228A7CE8"/>
    <w:rsid w:val="24703103"/>
    <w:rsid w:val="24906E2C"/>
    <w:rsid w:val="24BF011E"/>
    <w:rsid w:val="24E52C95"/>
    <w:rsid w:val="256C0CC0"/>
    <w:rsid w:val="27890857"/>
    <w:rsid w:val="27912E66"/>
    <w:rsid w:val="27E70AD2"/>
    <w:rsid w:val="28335F34"/>
    <w:rsid w:val="28D63CA7"/>
    <w:rsid w:val="2995009F"/>
    <w:rsid w:val="299A404E"/>
    <w:rsid w:val="29F309A2"/>
    <w:rsid w:val="2A1A4A34"/>
    <w:rsid w:val="2A5C58A0"/>
    <w:rsid w:val="2BFB7259"/>
    <w:rsid w:val="2C343278"/>
    <w:rsid w:val="2C3D56F1"/>
    <w:rsid w:val="2CBE44F7"/>
    <w:rsid w:val="2CE628BB"/>
    <w:rsid w:val="2CF241A1"/>
    <w:rsid w:val="2D1E4F96"/>
    <w:rsid w:val="2E4722CA"/>
    <w:rsid w:val="2F4A02C4"/>
    <w:rsid w:val="2F4D5528"/>
    <w:rsid w:val="30121A9A"/>
    <w:rsid w:val="305F1B4D"/>
    <w:rsid w:val="31244B45"/>
    <w:rsid w:val="31E743E7"/>
    <w:rsid w:val="32275A12"/>
    <w:rsid w:val="327613D0"/>
    <w:rsid w:val="33C65A3F"/>
    <w:rsid w:val="33EE40A7"/>
    <w:rsid w:val="345F1918"/>
    <w:rsid w:val="34B00BC9"/>
    <w:rsid w:val="35AA386B"/>
    <w:rsid w:val="35C661CB"/>
    <w:rsid w:val="35D2691D"/>
    <w:rsid w:val="36064889"/>
    <w:rsid w:val="3667175C"/>
    <w:rsid w:val="36CB18FA"/>
    <w:rsid w:val="37AC3523"/>
    <w:rsid w:val="37ED4898"/>
    <w:rsid w:val="38214B80"/>
    <w:rsid w:val="39130C38"/>
    <w:rsid w:val="39D6476D"/>
    <w:rsid w:val="3A156427"/>
    <w:rsid w:val="3A300CBF"/>
    <w:rsid w:val="3A8E01DB"/>
    <w:rsid w:val="3C237ED3"/>
    <w:rsid w:val="3D694839"/>
    <w:rsid w:val="3D7E448E"/>
    <w:rsid w:val="3DFB09DB"/>
    <w:rsid w:val="3E5325C6"/>
    <w:rsid w:val="3EC86B10"/>
    <w:rsid w:val="3EDD43E2"/>
    <w:rsid w:val="3F8C2EFD"/>
    <w:rsid w:val="3FA806EF"/>
    <w:rsid w:val="3FF974C4"/>
    <w:rsid w:val="41036525"/>
    <w:rsid w:val="41523008"/>
    <w:rsid w:val="415428DD"/>
    <w:rsid w:val="418238EE"/>
    <w:rsid w:val="41F21F65"/>
    <w:rsid w:val="42641245"/>
    <w:rsid w:val="42AB727A"/>
    <w:rsid w:val="436B5D7F"/>
    <w:rsid w:val="43AA42D0"/>
    <w:rsid w:val="43FB425B"/>
    <w:rsid w:val="44066F92"/>
    <w:rsid w:val="440C5823"/>
    <w:rsid w:val="454F3F26"/>
    <w:rsid w:val="457E261E"/>
    <w:rsid w:val="46A05541"/>
    <w:rsid w:val="470E3ECC"/>
    <w:rsid w:val="49293049"/>
    <w:rsid w:val="4964602B"/>
    <w:rsid w:val="49D3061B"/>
    <w:rsid w:val="4A201EF6"/>
    <w:rsid w:val="4A560FE6"/>
    <w:rsid w:val="4A9E62BB"/>
    <w:rsid w:val="4A9F1793"/>
    <w:rsid w:val="4AF94826"/>
    <w:rsid w:val="4B895879"/>
    <w:rsid w:val="4B9C55AC"/>
    <w:rsid w:val="4C0849EF"/>
    <w:rsid w:val="4CC87D25"/>
    <w:rsid w:val="4D023B34"/>
    <w:rsid w:val="4DC24624"/>
    <w:rsid w:val="4F551D3A"/>
    <w:rsid w:val="502142D2"/>
    <w:rsid w:val="502E12F9"/>
    <w:rsid w:val="50521400"/>
    <w:rsid w:val="511E5D67"/>
    <w:rsid w:val="51324A3C"/>
    <w:rsid w:val="515F2108"/>
    <w:rsid w:val="51A67184"/>
    <w:rsid w:val="51A91D4A"/>
    <w:rsid w:val="51C63383"/>
    <w:rsid w:val="51DF2696"/>
    <w:rsid w:val="52151C14"/>
    <w:rsid w:val="526C7FE7"/>
    <w:rsid w:val="53343044"/>
    <w:rsid w:val="533C1422"/>
    <w:rsid w:val="538D4A41"/>
    <w:rsid w:val="53A312FA"/>
    <w:rsid w:val="53A56748"/>
    <w:rsid w:val="548328F8"/>
    <w:rsid w:val="54922C34"/>
    <w:rsid w:val="55F74CC6"/>
    <w:rsid w:val="56AB2B47"/>
    <w:rsid w:val="56B66F9E"/>
    <w:rsid w:val="57CC0FC7"/>
    <w:rsid w:val="593037D7"/>
    <w:rsid w:val="59480B21"/>
    <w:rsid w:val="598552F6"/>
    <w:rsid w:val="598679E0"/>
    <w:rsid w:val="5A2A6479"/>
    <w:rsid w:val="5A3B0686"/>
    <w:rsid w:val="5A5D5558"/>
    <w:rsid w:val="5B3832F8"/>
    <w:rsid w:val="5C1C245B"/>
    <w:rsid w:val="5C7F72A3"/>
    <w:rsid w:val="5CB10F03"/>
    <w:rsid w:val="5D6D52D6"/>
    <w:rsid w:val="5DA60650"/>
    <w:rsid w:val="5DBA7B13"/>
    <w:rsid w:val="5E6208F8"/>
    <w:rsid w:val="5E86261F"/>
    <w:rsid w:val="5EE536CB"/>
    <w:rsid w:val="5F5768A7"/>
    <w:rsid w:val="5F6F4EBE"/>
    <w:rsid w:val="60BF5B6D"/>
    <w:rsid w:val="60C43183"/>
    <w:rsid w:val="60CF2BE8"/>
    <w:rsid w:val="61616C24"/>
    <w:rsid w:val="61F07FA8"/>
    <w:rsid w:val="620A44A0"/>
    <w:rsid w:val="625B18C5"/>
    <w:rsid w:val="62926DC6"/>
    <w:rsid w:val="62E61243"/>
    <w:rsid w:val="633049F2"/>
    <w:rsid w:val="63612F0B"/>
    <w:rsid w:val="64580CB0"/>
    <w:rsid w:val="65666529"/>
    <w:rsid w:val="658904F7"/>
    <w:rsid w:val="6646288C"/>
    <w:rsid w:val="66CA7019"/>
    <w:rsid w:val="67BD2A93"/>
    <w:rsid w:val="68692862"/>
    <w:rsid w:val="68EF720B"/>
    <w:rsid w:val="697A64A5"/>
    <w:rsid w:val="69B813AB"/>
    <w:rsid w:val="69CB37D4"/>
    <w:rsid w:val="6A894DD0"/>
    <w:rsid w:val="6A965FDC"/>
    <w:rsid w:val="6B2C2147"/>
    <w:rsid w:val="6BC404DB"/>
    <w:rsid w:val="6C457555"/>
    <w:rsid w:val="6C8E2897"/>
    <w:rsid w:val="6CC83FFB"/>
    <w:rsid w:val="6CC938CF"/>
    <w:rsid w:val="6CCA7D73"/>
    <w:rsid w:val="6D9C0FE4"/>
    <w:rsid w:val="6E6D3E23"/>
    <w:rsid w:val="6F1957C1"/>
    <w:rsid w:val="6F4D336D"/>
    <w:rsid w:val="6F5A2F04"/>
    <w:rsid w:val="6F9957DB"/>
    <w:rsid w:val="6F9B1553"/>
    <w:rsid w:val="6FD40036"/>
    <w:rsid w:val="70B14CA6"/>
    <w:rsid w:val="714608F5"/>
    <w:rsid w:val="71B92164"/>
    <w:rsid w:val="722D7A96"/>
    <w:rsid w:val="728D7966"/>
    <w:rsid w:val="735A61C9"/>
    <w:rsid w:val="739420B8"/>
    <w:rsid w:val="739A5E7A"/>
    <w:rsid w:val="73AF26D7"/>
    <w:rsid w:val="74AE1D28"/>
    <w:rsid w:val="75C10D37"/>
    <w:rsid w:val="760D2A7F"/>
    <w:rsid w:val="76256DCD"/>
    <w:rsid w:val="768C6438"/>
    <w:rsid w:val="774527E5"/>
    <w:rsid w:val="775748F9"/>
    <w:rsid w:val="77AC63A3"/>
    <w:rsid w:val="77EB7DB5"/>
    <w:rsid w:val="79B32BB9"/>
    <w:rsid w:val="7A1217FE"/>
    <w:rsid w:val="7A2D72A3"/>
    <w:rsid w:val="7A9920B1"/>
    <w:rsid w:val="7B0A3F6D"/>
    <w:rsid w:val="7CB37EFA"/>
    <w:rsid w:val="7CCC5441"/>
    <w:rsid w:val="7CE326FF"/>
    <w:rsid w:val="7CEF0FB6"/>
    <w:rsid w:val="7DCB394B"/>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qFormat/>
    <w:uiPriority w:val="99"/>
    <w:rPr>
      <w:rFonts w:ascii="Calibri" w:hAnsi="Calibri"/>
      <w:sz w:val="18"/>
      <w:szCs w:val="18"/>
      <w:lang w:val="zh-CN"/>
    </w:rPr>
  </w:style>
  <w:style w:type="paragraph" w:customStyle="1" w:styleId="28">
    <w:name w:val="Table Paragraph"/>
    <w:basedOn w:val="1"/>
    <w:qFormat/>
    <w:uiPriority w:val="1"/>
    <w:pPr>
      <w:spacing w:before="3"/>
      <w:jc w:val="center"/>
    </w:pPr>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28</Pages>
  <Words>13647</Words>
  <Characters>16205</Characters>
  <Lines>126</Lines>
  <Paragraphs>35</Paragraphs>
  <TotalTime>0</TotalTime>
  <ScaleCrop>false</ScaleCrop>
  <LinksUpToDate>false</LinksUpToDate>
  <CharactersWithSpaces>16360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cp:lastPrinted>2026-02-28T08:32:00Z</cp:lastPrinted>
  <dcterms:modified xsi:type="dcterms:W3CDTF">2026-03-04T09:36:44Z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9F46C1BFE94E45E9BEEC3656A37C5386_13</vt:lpwstr>
  </property>
  <property fmtid="{D5CDD505-2E9C-101B-9397-08002B2CF9AE}" pid="4" name="KSOTemplateDocerSaveRecord">
    <vt:lpwstr>eyJoZGlkIjoiNjc3ZDU4NDg0ZmE2MTAzZTY0MGM2NjhjYjJmNTRkNjEiLCJ1c2VySWQiOiI3MjEwOTQ1MTcifQ==</vt:lpwstr>
  </property>
</Properties>
</file>